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FBDF3" w14:textId="77777777" w:rsidR="00504D4F" w:rsidRDefault="00504D4F" w:rsidP="00504D4F">
      <w:pPr>
        <w:spacing w:line="239" w:lineRule="auto"/>
        <w:jc w:val="center"/>
        <w:rPr>
          <w:rFonts w:ascii="Arial" w:hAnsi="Arial"/>
          <w:sz w:val="19"/>
          <w:szCs w:val="19"/>
          <w:lang w:val="it-IT"/>
        </w:rPr>
      </w:pPr>
    </w:p>
    <w:tbl>
      <w:tblPr>
        <w:tblW w:w="14398" w:type="dxa"/>
        <w:tblBorders>
          <w:insideV w:val="single" w:sz="4" w:space="0" w:color="44546A"/>
        </w:tblBorders>
        <w:tblLayout w:type="fixed"/>
        <w:tblLook w:val="06A0" w:firstRow="1" w:lastRow="0" w:firstColumn="1" w:lastColumn="0" w:noHBand="1" w:noVBand="1"/>
      </w:tblPr>
      <w:tblGrid>
        <w:gridCol w:w="9720"/>
        <w:gridCol w:w="4678"/>
      </w:tblGrid>
      <w:tr w:rsidR="00A0737E" w:rsidRPr="00E21C96" w14:paraId="50C12F1C" w14:textId="77777777" w:rsidTr="00A0737E">
        <w:trPr>
          <w:gridAfter w:val="1"/>
          <w:wAfter w:w="4678" w:type="dxa"/>
        </w:trPr>
        <w:tc>
          <w:tcPr>
            <w:tcW w:w="9720" w:type="dxa"/>
            <w:shd w:val="clear" w:color="auto" w:fill="auto"/>
          </w:tcPr>
          <w:p w14:paraId="5A76E6D2" w14:textId="77777777" w:rsidR="00A0737E" w:rsidRPr="008B3191" w:rsidRDefault="00A0737E" w:rsidP="008B3191">
            <w:pPr>
              <w:jc w:val="center"/>
              <w:rPr>
                <w:rFonts w:ascii="Arial" w:hAnsi="Arial"/>
                <w:b/>
                <w:lang w:val="it-IT"/>
              </w:rPr>
            </w:pPr>
            <w:r w:rsidRPr="008B3191">
              <w:rPr>
                <w:rFonts w:ascii="Arial" w:hAnsi="Arial"/>
                <w:b/>
                <w:lang w:val="it-IT"/>
              </w:rPr>
              <w:t>FOGLIO INFORMATIVO</w:t>
            </w:r>
          </w:p>
          <w:p w14:paraId="1E81F470" w14:textId="77777777" w:rsidR="00A0737E" w:rsidRPr="008B3191" w:rsidRDefault="00A0737E" w:rsidP="008B3191">
            <w:pPr>
              <w:jc w:val="center"/>
              <w:rPr>
                <w:rFonts w:ascii="Arial" w:hAnsi="Arial"/>
                <w:b/>
                <w:lang w:val="it-IT"/>
              </w:rPr>
            </w:pPr>
          </w:p>
          <w:p w14:paraId="7A8B209C" w14:textId="77777777" w:rsidR="00A0737E" w:rsidRPr="008B3191" w:rsidRDefault="00A0737E" w:rsidP="008B3191">
            <w:pPr>
              <w:autoSpaceDE w:val="0"/>
              <w:autoSpaceDN w:val="0"/>
              <w:adjustRightInd w:val="0"/>
              <w:jc w:val="center"/>
              <w:rPr>
                <w:rFonts w:ascii="Arial" w:hAnsi="Arial"/>
                <w:b/>
                <w:bCs/>
                <w:color w:val="000000"/>
                <w:lang w:val="it-IT"/>
              </w:rPr>
            </w:pPr>
            <w:r w:rsidRPr="008B3191">
              <w:rPr>
                <w:rFonts w:ascii="Arial" w:hAnsi="Arial"/>
                <w:b/>
                <w:bCs/>
                <w:color w:val="000000"/>
                <w:lang w:val="it-IT"/>
              </w:rPr>
              <w:t>RELATIVO ALLA MEDIAZIONE CREDITIZIA</w:t>
            </w:r>
          </w:p>
          <w:p w14:paraId="466EFC27" w14:textId="77777777" w:rsidR="00A0737E" w:rsidRPr="008B3191" w:rsidRDefault="00A0737E" w:rsidP="008B3191">
            <w:pPr>
              <w:autoSpaceDE w:val="0"/>
              <w:autoSpaceDN w:val="0"/>
              <w:adjustRightInd w:val="0"/>
              <w:ind w:left="-108" w:right="-114"/>
              <w:jc w:val="center"/>
              <w:rPr>
                <w:rFonts w:ascii="Arial" w:hAnsi="Arial"/>
                <w:b/>
                <w:bCs/>
                <w:color w:val="000000"/>
                <w:lang w:val="it-IT"/>
              </w:rPr>
            </w:pPr>
            <w:r w:rsidRPr="008B3191">
              <w:rPr>
                <w:rFonts w:ascii="Arial" w:hAnsi="Arial"/>
                <w:b/>
                <w:bCs/>
                <w:color w:val="000000"/>
                <w:lang w:val="it-IT"/>
              </w:rPr>
              <w:t xml:space="preserve">DISCIPLINA DELLA TRASPARENZA DELLE OPERAZIONI E DEI SERVIZI BANCARI E FINANZIARI </w:t>
            </w:r>
          </w:p>
          <w:p w14:paraId="2ACC4B32" w14:textId="0F49CE81" w:rsidR="00A0737E" w:rsidRPr="008B3191" w:rsidRDefault="00A0737E" w:rsidP="008B3191">
            <w:pPr>
              <w:autoSpaceDE w:val="0"/>
              <w:autoSpaceDN w:val="0"/>
              <w:adjustRightInd w:val="0"/>
              <w:ind w:left="-108"/>
              <w:jc w:val="center"/>
              <w:rPr>
                <w:rFonts w:ascii="Arial" w:hAnsi="Arial"/>
                <w:b/>
                <w:color w:val="000000"/>
                <w:lang w:val="it-IT"/>
              </w:rPr>
            </w:pPr>
            <w:r w:rsidRPr="008B3191">
              <w:rPr>
                <w:rFonts w:ascii="Arial" w:hAnsi="Arial"/>
                <w:b/>
                <w:bCs/>
                <w:color w:val="000000"/>
                <w:lang w:val="it-IT"/>
              </w:rPr>
              <w:t xml:space="preserve">(Provvedimento di Banca d’Italia 30.09.2016) - </w:t>
            </w:r>
            <w:r w:rsidRPr="008B3191">
              <w:rPr>
                <w:rFonts w:ascii="Arial" w:hAnsi="Arial"/>
                <w:b/>
                <w:color w:val="000000"/>
                <w:lang w:val="it-IT"/>
              </w:rPr>
              <w:t xml:space="preserve">Documento versione del  </w:t>
            </w:r>
            <w:r>
              <w:rPr>
                <w:rFonts w:ascii="Arial" w:hAnsi="Arial"/>
                <w:b/>
                <w:color w:val="000000"/>
                <w:lang w:val="it-IT"/>
              </w:rPr>
              <w:t xml:space="preserve">Giugno </w:t>
            </w:r>
            <w:r w:rsidRPr="008B3191">
              <w:rPr>
                <w:rFonts w:ascii="Arial" w:hAnsi="Arial"/>
                <w:b/>
                <w:color w:val="000000"/>
                <w:lang w:val="it-IT"/>
              </w:rPr>
              <w:t>202</w:t>
            </w:r>
            <w:r>
              <w:rPr>
                <w:rFonts w:ascii="Arial" w:hAnsi="Arial"/>
                <w:b/>
                <w:color w:val="000000"/>
                <w:lang w:val="it-IT"/>
              </w:rPr>
              <w:t>4</w:t>
            </w:r>
          </w:p>
          <w:p w14:paraId="7A6D8DA2" w14:textId="77777777" w:rsidR="00A0737E" w:rsidRPr="008B3191" w:rsidRDefault="00A0737E" w:rsidP="008B3191">
            <w:pPr>
              <w:jc w:val="both"/>
              <w:rPr>
                <w:rFonts w:ascii="Arial" w:hAnsi="Arial"/>
                <w:lang w:val="it-IT"/>
              </w:rPr>
            </w:pPr>
          </w:p>
          <w:p w14:paraId="57DF8333" w14:textId="77777777" w:rsidR="00A0737E" w:rsidRPr="008B3191" w:rsidRDefault="00A0737E" w:rsidP="008B3191">
            <w:pPr>
              <w:spacing w:line="276" w:lineRule="auto"/>
              <w:jc w:val="both"/>
              <w:rPr>
                <w:rFonts w:ascii="Arial" w:hAnsi="Arial"/>
                <w:lang w:val="it-IT"/>
              </w:rPr>
            </w:pPr>
          </w:p>
          <w:p w14:paraId="34B92567" w14:textId="77777777" w:rsidR="00A0737E" w:rsidRPr="008B3191" w:rsidRDefault="00A0737E" w:rsidP="008B3191">
            <w:pPr>
              <w:pStyle w:val="ListParagraph"/>
              <w:numPr>
                <w:ilvl w:val="0"/>
                <w:numId w:val="12"/>
              </w:numPr>
              <w:ind w:left="459"/>
              <w:jc w:val="both"/>
              <w:rPr>
                <w:rFonts w:ascii="Arial" w:hAnsi="Arial"/>
                <w:b/>
                <w:lang w:val="it-IT"/>
              </w:rPr>
            </w:pPr>
            <w:r w:rsidRPr="008B3191">
              <w:rPr>
                <w:rFonts w:ascii="Arial" w:hAnsi="Arial"/>
                <w:b/>
              </w:rPr>
              <w:t>INFORMAZIONI SU TAXCHANGE SRL</w:t>
            </w:r>
            <w:r w:rsidRPr="008B3191">
              <w:rPr>
                <w:rFonts w:ascii="Arial" w:hAnsi="Arial"/>
                <w:b/>
              </w:rPr>
              <w:tab/>
            </w:r>
          </w:p>
          <w:p w14:paraId="55EB3E48" w14:textId="788ACF50" w:rsidR="00A0737E" w:rsidRDefault="00A0737E" w:rsidP="00284F5E">
            <w:pPr>
              <w:ind w:right="31"/>
              <w:jc w:val="both"/>
              <w:rPr>
                <w:rFonts w:ascii="Arial" w:hAnsi="Arial"/>
                <w:lang w:val="it-IT"/>
              </w:rPr>
            </w:pPr>
            <w:r w:rsidRPr="008B3191">
              <w:rPr>
                <w:rFonts w:ascii="Arial" w:hAnsi="Arial"/>
                <w:lang w:val="it-IT"/>
              </w:rPr>
              <w:t xml:space="preserve">TaxChange Srl (per il seguito “TaXchange” o “Società”), con sede legale in Corso Venezia, 8 - 20121 Milano, P.IVA/C.F. 11087870967, iscritta al Registro delle Imprese della CCIAA di Milano con il n. 2578746, iscritta nell’Elenco tenuto dall’Organismo di vigilanza degli Agenti e dei Mediatori Creditizi ex art.128-septies del D.Lgs. 1° settembre 1993, n.385 (Testo Unico Bancario, TUB), n. M480 del 28/02/2020, cap. soc. € 50.000,00 i.v., pec: </w:t>
            </w:r>
            <w:hyperlink r:id="rId11" w:history="1">
              <w:r w:rsidRPr="008B3191">
                <w:rPr>
                  <w:rFonts w:ascii="Arial" w:hAnsi="Arial"/>
                  <w:lang w:val="it-IT"/>
                </w:rPr>
                <w:t>taxchange@legalmail.it</w:t>
              </w:r>
            </w:hyperlink>
          </w:p>
          <w:p w14:paraId="004036DD" w14:textId="77777777" w:rsidR="00A0737E" w:rsidRPr="008B3191" w:rsidRDefault="00A0737E" w:rsidP="00284F5E">
            <w:pPr>
              <w:ind w:right="31"/>
              <w:jc w:val="both"/>
              <w:rPr>
                <w:rFonts w:ascii="Arial" w:hAnsi="Arial"/>
                <w:lang w:val="it-IT"/>
              </w:rPr>
            </w:pPr>
          </w:p>
          <w:p w14:paraId="3CC121D4" w14:textId="77777777" w:rsidR="00A0737E" w:rsidRPr="008B3191" w:rsidRDefault="00A0737E" w:rsidP="008B3191">
            <w:pPr>
              <w:tabs>
                <w:tab w:val="left" w:pos="1440"/>
              </w:tabs>
              <w:spacing w:line="276" w:lineRule="auto"/>
              <w:jc w:val="both"/>
              <w:rPr>
                <w:rFonts w:ascii="Arial" w:hAnsi="Arial"/>
                <w:lang w:val="it-IT"/>
              </w:rPr>
            </w:pPr>
          </w:p>
          <w:p w14:paraId="583B9B67" w14:textId="77777777" w:rsidR="00A0737E" w:rsidRPr="008B3191" w:rsidRDefault="00A0737E" w:rsidP="008B3191">
            <w:pPr>
              <w:pStyle w:val="ListParagraph"/>
              <w:numPr>
                <w:ilvl w:val="0"/>
                <w:numId w:val="12"/>
              </w:numPr>
              <w:rPr>
                <w:rFonts w:ascii="Arial" w:hAnsi="Arial"/>
                <w:b/>
                <w:lang w:val="it-IT"/>
              </w:rPr>
            </w:pPr>
            <w:r w:rsidRPr="008B3191">
              <w:rPr>
                <w:rFonts w:ascii="Arial" w:hAnsi="Arial"/>
                <w:b/>
                <w:lang w:val="it-IT"/>
              </w:rPr>
              <w:t>INFORMAZIONI SULLA PIATTAFORMA TAXCHANGE</w:t>
            </w:r>
          </w:p>
          <w:p w14:paraId="01C5B303" w14:textId="77777777" w:rsidR="00A0737E" w:rsidRPr="008B3191" w:rsidRDefault="00A0737E" w:rsidP="008B3191">
            <w:pPr>
              <w:spacing w:line="276" w:lineRule="auto"/>
              <w:jc w:val="both"/>
              <w:rPr>
                <w:rFonts w:ascii="Arial" w:hAnsi="Arial"/>
                <w:lang w:val="it-IT"/>
              </w:rPr>
            </w:pPr>
          </w:p>
          <w:p w14:paraId="18711F7B" w14:textId="77777777" w:rsidR="00A0737E" w:rsidRPr="008B3191" w:rsidRDefault="00A0737E" w:rsidP="008B3191">
            <w:pPr>
              <w:pStyle w:val="BodyText"/>
              <w:kinsoku w:val="0"/>
              <w:overflowPunct w:val="0"/>
              <w:spacing w:before="1"/>
              <w:jc w:val="both"/>
              <w:rPr>
                <w:rFonts w:ascii="Arial" w:eastAsia="Calibri" w:hAnsi="Arial" w:cs="Arial"/>
                <w:sz w:val="20"/>
                <w:szCs w:val="20"/>
                <w:lang w:eastAsia="en-US"/>
              </w:rPr>
            </w:pPr>
            <w:r w:rsidRPr="008B3191">
              <w:rPr>
                <w:rFonts w:ascii="Arial" w:eastAsia="Calibri" w:hAnsi="Arial" w:cs="Arial"/>
                <w:sz w:val="20"/>
                <w:szCs w:val="20"/>
                <w:lang w:eastAsia="en-US"/>
              </w:rPr>
              <w:t>TaxChange gestisce  una piattaforma digitale accessibile attraverso il sito web.</w:t>
            </w:r>
          </w:p>
          <w:p w14:paraId="46D17DAA" w14:textId="77777777" w:rsidR="00A0737E" w:rsidRPr="008B3191" w:rsidRDefault="00A0737E" w:rsidP="008B3191">
            <w:pPr>
              <w:jc w:val="both"/>
              <w:rPr>
                <w:rFonts w:ascii="Arial" w:hAnsi="Arial"/>
                <w:lang w:val="it-IT"/>
              </w:rPr>
            </w:pPr>
            <w:r w:rsidRPr="008B3191">
              <w:rPr>
                <w:rFonts w:ascii="Arial" w:hAnsi="Arial"/>
                <w:lang w:val="it-IT"/>
              </w:rPr>
              <w:t xml:space="preserve">La piattaforma costituisce un “marketplace digitale”, aperto ad una molteplicità di soggetti, finalizzato a consentire la conclusione di operazioni di cessione e connesso acquisto di crediti fiscali di pertinenza del soggetto venditore (“Seller”) e che lo stesso voglia alienare sul mercato. Attraverso la gestione della piattaforma, TaxCange mette in relazione i Seller con i potenziali soggetti acquirenti (“Buyer”) ai fini della cessione dei crediti fiscali. Si precisa che, in quanto  mediatore creditizio, ai sensi del sopracitato art. 128-sexies del TUB, TaxChange esercita la propria attività senza che la Società abbia alcun rapporto di dipendenza o rappresentanza con alcuno dei partecipanti. </w:t>
            </w:r>
            <w:r w:rsidRPr="008B3191">
              <w:rPr>
                <w:rFonts w:ascii="Arial" w:hAnsi="Arial"/>
                <w:lang w:val="it-IT" w:eastAsia="en-US"/>
              </w:rPr>
              <w:t xml:space="preserve">L’accesso alla piattaforma in qualità di partecipante è riservato ai soggetti qualificabili come Buyer o Seller,  fermo restando che, ai sensi dell’ordinamento italiano, l’acquisto di crediti a titolo oneroso costituisce attività riservata esercitabile esclusivamente da parte di soggetti autorizzati ai sensi di legge, quali: </w:t>
            </w:r>
            <w:r w:rsidRPr="008B3191">
              <w:rPr>
                <w:rFonts w:ascii="Arial" w:hAnsi="Arial"/>
                <w:lang w:val="it-IT"/>
              </w:rPr>
              <w:t>banche (UE ed Internazionali), società veicolo di cartolarizzazione ai sensi della L.30/04/1999, n. 130, intermediari finanziari ai sensi dell’art. 106 del d.lgs 01/09/1993 n. 385 (“TUB”), società di gestione del risparmio ai sensi del d.lgs. 24/02/1998, n. 58 (“TUF”).</w:t>
            </w:r>
          </w:p>
          <w:p w14:paraId="6DCEB447" w14:textId="77777777" w:rsidR="00A0737E" w:rsidRPr="008B3191" w:rsidRDefault="00A0737E" w:rsidP="008B3191">
            <w:pPr>
              <w:pStyle w:val="BodyText"/>
              <w:kinsoku w:val="0"/>
              <w:overflowPunct w:val="0"/>
              <w:jc w:val="both"/>
              <w:rPr>
                <w:rFonts w:ascii="Arial" w:eastAsia="Calibri" w:hAnsi="Arial" w:cs="Arial"/>
                <w:sz w:val="20"/>
                <w:szCs w:val="20"/>
                <w:lang w:eastAsia="en-US"/>
              </w:rPr>
            </w:pPr>
          </w:p>
          <w:p w14:paraId="2DE6F99C" w14:textId="77777777" w:rsidR="00A0737E" w:rsidRPr="008B3191" w:rsidRDefault="00A0737E" w:rsidP="008B3191">
            <w:pPr>
              <w:pStyle w:val="BodyText"/>
              <w:kinsoku w:val="0"/>
              <w:overflowPunct w:val="0"/>
              <w:spacing w:before="1"/>
              <w:jc w:val="both"/>
              <w:rPr>
                <w:rFonts w:ascii="Arial" w:eastAsia="Calibri" w:hAnsi="Arial" w:cs="Arial"/>
                <w:sz w:val="20"/>
                <w:szCs w:val="20"/>
                <w:lang w:eastAsia="en-US"/>
              </w:rPr>
            </w:pPr>
            <w:r w:rsidRPr="008B3191">
              <w:rPr>
                <w:rFonts w:ascii="Arial" w:eastAsia="Calibri" w:hAnsi="Arial" w:cs="Arial"/>
                <w:sz w:val="20"/>
                <w:szCs w:val="20"/>
                <w:lang w:eastAsia="en-US"/>
              </w:rPr>
              <w:t>Il Seller  che intenda utilizzare la piattaforma, al fine di cedere un credito fiscale, deve effettuare il processo di registrazione sul sito web, all’esito del quale, se concluso con successo, verrà attivato un account ad almeno una utenza.</w:t>
            </w:r>
          </w:p>
          <w:p w14:paraId="1102AC38" w14:textId="77777777" w:rsidR="00A0737E" w:rsidRPr="008B3191" w:rsidRDefault="00A0737E" w:rsidP="008B3191">
            <w:pPr>
              <w:contextualSpacing/>
              <w:jc w:val="both"/>
              <w:rPr>
                <w:rFonts w:ascii="Arial" w:hAnsi="Arial"/>
                <w:lang w:val="it-IT"/>
              </w:rPr>
            </w:pPr>
            <w:r w:rsidRPr="008B3191">
              <w:rPr>
                <w:rFonts w:ascii="Arial" w:hAnsi="Arial"/>
                <w:lang w:val="it-IT"/>
              </w:rPr>
              <w:t>Tale utenza dà la possibilità di registrare il partecipante sulla piattaforma, attraverso l’impostazione di credenziali d’accesso ed il caricamento sulla stessa di tutti i dati, le informazioni, i documenti e le dichiarazioni necessari per l’adeguata e completa identificazione del partecipante. Al termine del processo di valutazione e di verifica di tutti i soggetti registrati (rappresentante legale/esecutore, titolare effettivo, delegato ad operare), in caso di riscontro positivo, il Seller riceve una e-mail di notifica da parte della piattaforma in cui si comunica l’avvenuta accettazione dell’applicazione e la richiesta di siglare il contratto di adesione (“Membership Agreement”) con TaxChange. Tale contratto, unitamente al regolamento che ne costituisce parte integrante, definisce  i termini e le condizioni di accesso e di utilizzo della piattaforma ai fini della cessione di crediti fiscali, nonché i costi di adesione e e le  commissioni dovute dal partecipante alla Società per ciascuna procedura di vendita di crediti aggiudicata sulla piattaforma e le relative modalità di pagamento.</w:t>
            </w:r>
          </w:p>
          <w:p w14:paraId="2E958BF4" w14:textId="77777777" w:rsidR="00A0737E" w:rsidRPr="008B3191" w:rsidRDefault="00A0737E" w:rsidP="008B3191">
            <w:pPr>
              <w:contextualSpacing/>
              <w:jc w:val="both"/>
              <w:rPr>
                <w:rFonts w:ascii="Arial" w:hAnsi="Arial"/>
                <w:lang w:val="it-IT"/>
              </w:rPr>
            </w:pPr>
            <w:r w:rsidRPr="008B3191">
              <w:rPr>
                <w:rFonts w:ascii="Arial" w:hAnsi="Arial"/>
                <w:lang w:val="it-IT"/>
              </w:rPr>
              <w:t xml:space="preserve">Conclusasi la fase di adesione, la procedura di cessione di un credito fiscale, prevede il caricamento dei documenti riferiti al credito che si vuole cedere in piattaforma e la conseguente fase di due diligence (“light” o “estesa”) del credito stesso. </w:t>
            </w:r>
          </w:p>
          <w:p w14:paraId="3A26DE8A" w14:textId="77777777" w:rsidR="00A0737E" w:rsidRPr="008B3191" w:rsidRDefault="00A0737E" w:rsidP="008B3191">
            <w:pPr>
              <w:contextualSpacing/>
              <w:jc w:val="both"/>
              <w:rPr>
                <w:rFonts w:ascii="Arial" w:hAnsi="Arial"/>
                <w:lang w:val="it-IT"/>
              </w:rPr>
            </w:pPr>
            <w:r w:rsidRPr="008B3191">
              <w:rPr>
                <w:rFonts w:ascii="Arial" w:hAnsi="Arial"/>
                <w:lang w:val="it-IT"/>
              </w:rPr>
              <w:t xml:space="preserve">Il Seller, al termine della due diligence, ove decidesse di offrire quel determinato credito nella piattaforma in asta alle condizioni risultanti dalla due diligence (prezzo minimo e massimo di eventuale vendita), dovrà sottoscrivere un impegno irrevocabile  alla cessione a tali condizioni, obbligandosi anche  a non compiere azioni dispositive del credito nei successivi 30 giorni. La Piattaforma, in ogni caso, non garantisce la certezza della vendita nel mercato Asta. Al termine della procedura d’asta, in caso di incrocio tra valore di vendita e di acquisto, il Seller è tenuto a sottoscrivere il contratto di “Vendita e Acquisto” (“Purchase and Sales Agreement” – “PSA”) con il Buyer aggiudicatario che lo impegnerà a stipulare l’atto di cessione del credito davanti al notaio designato nei cinque giorni lavorativi successivi. La liquidazione del credito ceduto verrà </w:t>
            </w:r>
            <w:r w:rsidRPr="008B3191">
              <w:rPr>
                <w:rFonts w:ascii="Arial" w:hAnsi="Arial"/>
                <w:lang w:val="it-IT"/>
              </w:rPr>
              <w:lastRenderedPageBreak/>
              <w:t>effettuata contestualmente alla stipula dell’atto notarile. Da tale importo verranno trattenute le commissioni dovute a TaxChange per la gestione della procedura di vendita.</w:t>
            </w:r>
          </w:p>
          <w:p w14:paraId="6E5E4969" w14:textId="0C8BC6F0" w:rsidR="00A0737E" w:rsidRDefault="00A0737E" w:rsidP="008B3191">
            <w:pPr>
              <w:spacing w:line="276" w:lineRule="auto"/>
              <w:jc w:val="both"/>
              <w:rPr>
                <w:rFonts w:ascii="Arial" w:hAnsi="Arial"/>
                <w:lang w:val="it-IT"/>
              </w:rPr>
            </w:pPr>
            <w:r w:rsidRPr="008B3191">
              <w:rPr>
                <w:rFonts w:ascii="Arial" w:hAnsi="Arial"/>
                <w:lang w:val="it-IT"/>
              </w:rPr>
              <w:t xml:space="preserve"> </w:t>
            </w:r>
          </w:p>
          <w:p w14:paraId="633EEA02" w14:textId="77777777" w:rsidR="00A0737E" w:rsidRPr="008B3191" w:rsidRDefault="00A0737E" w:rsidP="008B3191">
            <w:pPr>
              <w:spacing w:line="276" w:lineRule="auto"/>
              <w:jc w:val="both"/>
              <w:rPr>
                <w:rFonts w:ascii="Arial" w:hAnsi="Arial"/>
                <w:lang w:val="it-IT"/>
              </w:rPr>
            </w:pPr>
          </w:p>
          <w:p w14:paraId="32332567" w14:textId="77777777" w:rsidR="00A0737E" w:rsidRPr="008B3191" w:rsidRDefault="00A0737E" w:rsidP="008B3191">
            <w:pPr>
              <w:pStyle w:val="ListParagraph"/>
              <w:numPr>
                <w:ilvl w:val="0"/>
                <w:numId w:val="12"/>
              </w:numPr>
              <w:rPr>
                <w:rFonts w:ascii="Arial" w:hAnsi="Arial"/>
                <w:b/>
                <w:lang w:val="it-IT"/>
              </w:rPr>
            </w:pPr>
            <w:r w:rsidRPr="008B3191">
              <w:rPr>
                <w:rFonts w:ascii="Arial" w:hAnsi="Arial"/>
                <w:b/>
                <w:lang w:val="it-IT"/>
              </w:rPr>
              <w:t>CONDIZIONI ECONOMICHE UTILIZZO PIATTAFORMA</w:t>
            </w:r>
          </w:p>
          <w:p w14:paraId="6F2EA3A0" w14:textId="77777777" w:rsidR="00A0737E" w:rsidRPr="008B3191" w:rsidRDefault="00A0737E" w:rsidP="008B3191">
            <w:pPr>
              <w:spacing w:line="276" w:lineRule="auto"/>
              <w:jc w:val="both"/>
              <w:rPr>
                <w:rFonts w:ascii="Arial" w:hAnsi="Arial"/>
                <w:lang w:val="it-IT"/>
              </w:rPr>
            </w:pPr>
          </w:p>
          <w:p w14:paraId="6B482EB4" w14:textId="77777777" w:rsidR="00A0737E" w:rsidRPr="008B3191" w:rsidRDefault="00A0737E" w:rsidP="008B3191">
            <w:pPr>
              <w:jc w:val="both"/>
              <w:rPr>
                <w:rFonts w:ascii="Arial" w:eastAsia="Times New Roman" w:hAnsi="Arial"/>
                <w:lang w:val="it-IT" w:eastAsia="it-IT"/>
              </w:rPr>
            </w:pPr>
            <w:r w:rsidRPr="008B3191">
              <w:rPr>
                <w:rFonts w:ascii="Arial" w:eastAsia="Times New Roman" w:hAnsi="Arial"/>
                <w:lang w:val="it-IT" w:eastAsia="it-IT"/>
              </w:rPr>
              <w:t>Consistono nella quota di partecipazione alla piattaforma e nelle commissioni e in ogni altra spesa dovute a seguito della sottoscrizione del Membership Agreement per l’utilizzo della stessa ai fini della cessione dei crediti fiscali, ed in particolare:</w:t>
            </w:r>
          </w:p>
        </w:tc>
      </w:tr>
      <w:tr w:rsidR="0072440C" w:rsidRPr="00E21C96" w14:paraId="4100B0F1" w14:textId="77777777" w:rsidTr="00A0737E">
        <w:tc>
          <w:tcPr>
            <w:tcW w:w="9720" w:type="dxa"/>
            <w:shd w:val="clear" w:color="auto" w:fill="auto"/>
          </w:tcPr>
          <w:p w14:paraId="1E3933C5" w14:textId="77777777" w:rsidR="0072440C" w:rsidRPr="008B3191" w:rsidRDefault="0072440C" w:rsidP="00532EBF">
            <w:pPr>
              <w:rPr>
                <w:rFonts w:ascii="Arial" w:hAnsi="Arial"/>
                <w:b/>
              </w:rPr>
            </w:pPr>
          </w:p>
        </w:tc>
        <w:tc>
          <w:tcPr>
            <w:tcW w:w="4678" w:type="dxa"/>
            <w:shd w:val="clear" w:color="auto" w:fill="auto"/>
          </w:tcPr>
          <w:p w14:paraId="1383C3F1" w14:textId="77777777" w:rsidR="0072440C" w:rsidRPr="008B3191" w:rsidRDefault="0072440C" w:rsidP="008B3191">
            <w:pPr>
              <w:ind w:right="-141"/>
              <w:rPr>
                <w:rFonts w:ascii="Arial" w:hAnsi="Arial"/>
                <w:b/>
              </w:rPr>
            </w:pPr>
          </w:p>
        </w:tc>
      </w:tr>
    </w:tbl>
    <w:p w14:paraId="03DED3AC" w14:textId="166B2B9A" w:rsidR="00284F5E" w:rsidRDefault="00284F5E" w:rsidP="005A5DE7">
      <w:pPr>
        <w:spacing w:line="239" w:lineRule="auto"/>
        <w:rPr>
          <w:rFonts w:ascii="Arial" w:hAnsi="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46"/>
      </w:tblGrid>
      <w:tr w:rsidR="00284F5E" w:rsidRPr="00A0737E" w14:paraId="3D2A81FC" w14:textId="77777777" w:rsidTr="0041457C">
        <w:tc>
          <w:tcPr>
            <w:tcW w:w="2235" w:type="dxa"/>
            <w:shd w:val="clear" w:color="auto" w:fill="auto"/>
          </w:tcPr>
          <w:p w14:paraId="10435846" w14:textId="77777777" w:rsidR="00284F5E" w:rsidRPr="008B3191" w:rsidRDefault="00284F5E" w:rsidP="0041457C">
            <w:pPr>
              <w:jc w:val="both"/>
              <w:rPr>
                <w:rFonts w:eastAsia="Times New Roman" w:cs="Calibri"/>
                <w:sz w:val="16"/>
                <w:szCs w:val="16"/>
                <w:lang w:val="it-IT" w:eastAsia="it-IT"/>
              </w:rPr>
            </w:pPr>
            <w:r w:rsidRPr="008B3191">
              <w:rPr>
                <w:rFonts w:eastAsia="Times New Roman" w:cs="Calibri"/>
                <w:sz w:val="16"/>
                <w:szCs w:val="16"/>
                <w:lang w:val="it-IT" w:eastAsia="it-IT"/>
              </w:rPr>
              <w:t>Quota di partecipazione /</w:t>
            </w:r>
          </w:p>
          <w:p w14:paraId="029E2FE1" w14:textId="77777777" w:rsidR="00284F5E" w:rsidRPr="008B3191" w:rsidRDefault="00284F5E" w:rsidP="0041457C">
            <w:pPr>
              <w:jc w:val="both"/>
              <w:rPr>
                <w:rFonts w:eastAsia="Times New Roman" w:cs="Calibri"/>
                <w:sz w:val="16"/>
                <w:szCs w:val="16"/>
                <w:lang w:val="it-IT" w:eastAsia="it-IT"/>
              </w:rPr>
            </w:pPr>
            <w:r w:rsidRPr="008B3191">
              <w:rPr>
                <w:rFonts w:eastAsia="Times New Roman" w:cs="Calibri"/>
                <w:sz w:val="16"/>
                <w:szCs w:val="16"/>
                <w:lang w:val="it-IT" w:eastAsia="it-IT"/>
              </w:rPr>
              <w:t>Membership Fee</w:t>
            </w:r>
          </w:p>
        </w:tc>
        <w:tc>
          <w:tcPr>
            <w:tcW w:w="7546" w:type="dxa"/>
            <w:shd w:val="clear" w:color="auto" w:fill="auto"/>
          </w:tcPr>
          <w:p w14:paraId="099F71EE" w14:textId="62080EFE" w:rsidR="00284F5E" w:rsidRPr="009F2DDD" w:rsidRDefault="00284F5E" w:rsidP="0041457C">
            <w:pPr>
              <w:jc w:val="both"/>
              <w:rPr>
                <w:rFonts w:eastAsia="Times New Roman" w:cs="Calibri"/>
                <w:sz w:val="16"/>
                <w:szCs w:val="16"/>
                <w:lang w:val="it-IT" w:eastAsia="it-IT"/>
              </w:rPr>
            </w:pPr>
            <w:r w:rsidRPr="009F2DDD">
              <w:rPr>
                <w:rFonts w:eastAsia="Times New Roman" w:cs="Calibri"/>
                <w:sz w:val="16"/>
                <w:szCs w:val="16"/>
                <w:lang w:val="it-IT" w:eastAsia="it-IT"/>
              </w:rPr>
              <w:t>Euro 1.000,00 per il primo anno /</w:t>
            </w:r>
            <w:r w:rsidR="001E13B6" w:rsidRPr="009F2DDD">
              <w:rPr>
                <w:rFonts w:eastAsia="Times New Roman" w:cs="Calibri"/>
                <w:sz w:val="16"/>
                <w:szCs w:val="16"/>
                <w:lang w:val="it-IT" w:eastAsia="it-IT"/>
              </w:rPr>
              <w:t xml:space="preserve"> Euro 1.000,00</w:t>
            </w:r>
            <w:r w:rsidRPr="009F2DDD">
              <w:rPr>
                <w:rFonts w:eastAsia="Times New Roman" w:cs="Calibri"/>
                <w:sz w:val="16"/>
                <w:szCs w:val="16"/>
                <w:lang w:val="it-IT" w:eastAsia="it-IT"/>
              </w:rPr>
              <w:t xml:space="preserve"> for the first year</w:t>
            </w:r>
          </w:p>
          <w:p w14:paraId="5E01AB00" w14:textId="77777777" w:rsidR="00284F5E" w:rsidRDefault="00284F5E" w:rsidP="0041457C">
            <w:pPr>
              <w:jc w:val="both"/>
              <w:rPr>
                <w:rFonts w:eastAsia="Times New Roman" w:cs="Calibri"/>
                <w:sz w:val="16"/>
                <w:szCs w:val="16"/>
                <w:lang w:val="it-IT" w:eastAsia="it-IT"/>
              </w:rPr>
            </w:pPr>
            <w:r w:rsidRPr="009F2DDD">
              <w:rPr>
                <w:rFonts w:eastAsia="Times New Roman" w:cs="Calibri"/>
                <w:sz w:val="16"/>
                <w:szCs w:val="16"/>
                <w:lang w:val="it-IT" w:eastAsia="it-IT"/>
              </w:rPr>
              <w:t xml:space="preserve">Euro 5.000,00 dal secondo anno in avanti (se lìimporto nominale dei crediti ceduti nel primo anno è superiore a Euro  1.000.000,00) – </w:t>
            </w:r>
            <w:r w:rsidR="001E13B6" w:rsidRPr="009F2DDD">
              <w:rPr>
                <w:rFonts w:eastAsia="Times New Roman" w:cs="Calibri"/>
                <w:sz w:val="16"/>
                <w:szCs w:val="16"/>
                <w:lang w:val="it-IT" w:eastAsia="it-IT"/>
              </w:rPr>
              <w:t xml:space="preserve">Euro 5.000,00 </w:t>
            </w:r>
            <w:r w:rsidRPr="009F2DDD">
              <w:rPr>
                <w:rFonts w:eastAsia="Times New Roman" w:cs="Calibri"/>
                <w:sz w:val="16"/>
                <w:szCs w:val="16"/>
                <w:lang w:val="it-IT" w:eastAsia="it-IT"/>
              </w:rPr>
              <w:t xml:space="preserve">from the second year onwards (if the nominal value of the claims sold during the previous year exeeds Euro  1.000.000,00) </w:t>
            </w:r>
          </w:p>
          <w:p w14:paraId="44E26ADD" w14:textId="4CF44937" w:rsidR="001F36BF" w:rsidRPr="001F36BF" w:rsidRDefault="001F36BF" w:rsidP="001F36BF">
            <w:pPr>
              <w:pStyle w:val="ListParagraph"/>
              <w:numPr>
                <w:ilvl w:val="0"/>
                <w:numId w:val="35"/>
              </w:numPr>
              <w:jc w:val="both"/>
              <w:rPr>
                <w:rFonts w:eastAsia="Times New Roman" w:cs="Calibri"/>
                <w:sz w:val="16"/>
                <w:szCs w:val="16"/>
                <w:lang w:val="it-IT" w:eastAsia="it-IT"/>
              </w:rPr>
            </w:pPr>
            <w:r>
              <w:rPr>
                <w:rFonts w:eastAsia="Times New Roman" w:cs="Calibri"/>
                <w:sz w:val="16"/>
                <w:szCs w:val="16"/>
                <w:lang w:val="it-IT" w:eastAsia="it-IT"/>
              </w:rPr>
              <w:t>Non si appliccano alle cessioni dei crediti Bonus Fiscali Edilizi</w:t>
            </w:r>
          </w:p>
        </w:tc>
      </w:tr>
      <w:tr w:rsidR="00284F5E" w:rsidRPr="00284F5E" w14:paraId="610C7F92" w14:textId="77777777" w:rsidTr="0041457C">
        <w:tc>
          <w:tcPr>
            <w:tcW w:w="2235" w:type="dxa"/>
            <w:shd w:val="clear" w:color="auto" w:fill="auto"/>
          </w:tcPr>
          <w:p w14:paraId="22C965B5" w14:textId="77777777" w:rsidR="00284F5E" w:rsidRPr="008B3191" w:rsidRDefault="00284F5E" w:rsidP="0041457C">
            <w:pPr>
              <w:jc w:val="both"/>
              <w:rPr>
                <w:rFonts w:eastAsia="Times New Roman" w:cs="Calibri"/>
                <w:sz w:val="16"/>
                <w:szCs w:val="16"/>
                <w:lang w:eastAsia="it-IT"/>
              </w:rPr>
            </w:pPr>
            <w:proofErr w:type="spellStart"/>
            <w:r w:rsidRPr="008B3191">
              <w:rPr>
                <w:rFonts w:eastAsia="Times New Roman" w:cs="Calibri"/>
                <w:sz w:val="16"/>
                <w:szCs w:val="16"/>
                <w:lang w:eastAsia="it-IT"/>
              </w:rPr>
              <w:t>Commissioni</w:t>
            </w:r>
            <w:proofErr w:type="spellEnd"/>
            <w:r w:rsidRPr="008B3191">
              <w:rPr>
                <w:rFonts w:eastAsia="Times New Roman" w:cs="Calibri"/>
                <w:sz w:val="16"/>
                <w:szCs w:val="16"/>
                <w:lang w:eastAsia="it-IT"/>
              </w:rPr>
              <w:t xml:space="preserve"> / Fees</w:t>
            </w:r>
          </w:p>
        </w:tc>
        <w:tc>
          <w:tcPr>
            <w:tcW w:w="7546" w:type="dxa"/>
            <w:shd w:val="clear" w:color="auto" w:fill="auto"/>
          </w:tcPr>
          <w:p w14:paraId="405391C8" w14:textId="0928BB12" w:rsidR="00284F5E" w:rsidRPr="009F2DDD" w:rsidRDefault="00284F5E" w:rsidP="00A0737E">
            <w:pPr>
              <w:pStyle w:val="ListParagraph"/>
              <w:ind w:left="70"/>
              <w:jc w:val="both"/>
              <w:rPr>
                <w:rFonts w:eastAsia="Times New Roman" w:cs="Calibri"/>
                <w:sz w:val="16"/>
                <w:szCs w:val="16"/>
                <w:lang w:eastAsia="it-IT"/>
              </w:rPr>
            </w:pPr>
            <w:r w:rsidRPr="009F2DDD">
              <w:rPr>
                <w:rFonts w:eastAsia="Times New Roman" w:cs="Calibri"/>
                <w:sz w:val="16"/>
                <w:szCs w:val="16"/>
                <w:lang w:eastAsia="it-IT"/>
              </w:rPr>
              <w:t xml:space="preserve">Da 31 bps (0,31%) a 300 bps (3,00%) del </w:t>
            </w:r>
            <w:proofErr w:type="spellStart"/>
            <w:r w:rsidRPr="009F2DDD">
              <w:rPr>
                <w:rFonts w:eastAsia="Times New Roman" w:cs="Calibri"/>
                <w:sz w:val="16"/>
                <w:szCs w:val="16"/>
                <w:lang w:eastAsia="it-IT"/>
              </w:rPr>
              <w:t>va</w:t>
            </w:r>
            <w:r w:rsidR="009F2DDD">
              <w:rPr>
                <w:rFonts w:eastAsia="Times New Roman" w:cs="Calibri"/>
                <w:sz w:val="16"/>
                <w:szCs w:val="16"/>
                <w:lang w:eastAsia="it-IT"/>
              </w:rPr>
              <w:t>l</w:t>
            </w:r>
            <w:r w:rsidRPr="009F2DDD">
              <w:rPr>
                <w:rFonts w:eastAsia="Times New Roman" w:cs="Calibri"/>
                <w:sz w:val="16"/>
                <w:szCs w:val="16"/>
                <w:lang w:eastAsia="it-IT"/>
              </w:rPr>
              <w:t>ore</w:t>
            </w:r>
            <w:proofErr w:type="spellEnd"/>
            <w:r w:rsidRPr="009F2DDD">
              <w:rPr>
                <w:rFonts w:eastAsia="Times New Roman" w:cs="Calibri"/>
                <w:sz w:val="16"/>
                <w:szCs w:val="16"/>
                <w:lang w:eastAsia="it-IT"/>
              </w:rPr>
              <w:t xml:space="preserve"> </w:t>
            </w:r>
            <w:proofErr w:type="spellStart"/>
            <w:r w:rsidRPr="009F2DDD">
              <w:rPr>
                <w:rFonts w:eastAsia="Times New Roman" w:cs="Calibri"/>
                <w:sz w:val="16"/>
                <w:szCs w:val="16"/>
                <w:lang w:eastAsia="it-IT"/>
              </w:rPr>
              <w:t>nominale</w:t>
            </w:r>
            <w:proofErr w:type="spellEnd"/>
            <w:r w:rsidRPr="009F2DDD">
              <w:rPr>
                <w:rFonts w:eastAsia="Times New Roman" w:cs="Calibri"/>
                <w:sz w:val="16"/>
                <w:szCs w:val="16"/>
                <w:lang w:eastAsia="it-IT"/>
              </w:rPr>
              <w:t xml:space="preserve"> del </w:t>
            </w:r>
            <w:proofErr w:type="spellStart"/>
            <w:r w:rsidRPr="009F2DDD">
              <w:rPr>
                <w:rFonts w:eastAsia="Times New Roman" w:cs="Calibri"/>
                <w:sz w:val="16"/>
                <w:szCs w:val="16"/>
                <w:lang w:eastAsia="it-IT"/>
              </w:rPr>
              <w:t>credito</w:t>
            </w:r>
            <w:proofErr w:type="spellEnd"/>
            <w:r w:rsidRPr="009F2DDD">
              <w:rPr>
                <w:rFonts w:eastAsia="Times New Roman" w:cs="Calibri"/>
                <w:sz w:val="16"/>
                <w:szCs w:val="16"/>
                <w:lang w:eastAsia="it-IT"/>
              </w:rPr>
              <w:t xml:space="preserve"> </w:t>
            </w:r>
          </w:p>
        </w:tc>
      </w:tr>
      <w:tr w:rsidR="00284F5E" w:rsidRPr="001F2DC7" w14:paraId="1CC9C801" w14:textId="77777777" w:rsidTr="0041457C">
        <w:tc>
          <w:tcPr>
            <w:tcW w:w="2235" w:type="dxa"/>
            <w:shd w:val="clear" w:color="auto" w:fill="auto"/>
          </w:tcPr>
          <w:p w14:paraId="50B73D47" w14:textId="77777777" w:rsidR="00284F5E" w:rsidRPr="008B3191" w:rsidRDefault="00284F5E" w:rsidP="0041457C">
            <w:pPr>
              <w:jc w:val="both"/>
              <w:rPr>
                <w:rFonts w:eastAsia="Times New Roman" w:cs="Calibri"/>
                <w:sz w:val="16"/>
                <w:szCs w:val="16"/>
                <w:lang w:eastAsia="it-IT"/>
              </w:rPr>
            </w:pPr>
            <w:proofErr w:type="spellStart"/>
            <w:r w:rsidRPr="008B3191">
              <w:rPr>
                <w:rFonts w:eastAsia="Times New Roman" w:cs="Calibri"/>
                <w:sz w:val="16"/>
                <w:szCs w:val="16"/>
                <w:lang w:eastAsia="it-IT"/>
              </w:rPr>
              <w:t>Penali</w:t>
            </w:r>
            <w:proofErr w:type="spellEnd"/>
            <w:r w:rsidRPr="008B3191">
              <w:rPr>
                <w:rFonts w:eastAsia="Times New Roman" w:cs="Calibri"/>
                <w:sz w:val="16"/>
                <w:szCs w:val="16"/>
                <w:lang w:eastAsia="it-IT"/>
              </w:rPr>
              <w:t xml:space="preserve"> / Penalties </w:t>
            </w:r>
          </w:p>
        </w:tc>
        <w:tc>
          <w:tcPr>
            <w:tcW w:w="7546" w:type="dxa"/>
            <w:shd w:val="clear" w:color="auto" w:fill="auto"/>
          </w:tcPr>
          <w:p w14:paraId="20B6B851" w14:textId="77777777" w:rsidR="00284F5E" w:rsidRPr="009F2DDD" w:rsidRDefault="00284F5E" w:rsidP="0041457C">
            <w:pPr>
              <w:jc w:val="both"/>
              <w:rPr>
                <w:rFonts w:eastAsia="Times New Roman" w:cs="Calibri"/>
                <w:sz w:val="16"/>
                <w:szCs w:val="16"/>
                <w:lang w:eastAsia="it-IT"/>
              </w:rPr>
            </w:pPr>
            <w:r w:rsidRPr="009F2DDD">
              <w:rPr>
                <w:rFonts w:eastAsia="Times New Roman" w:cs="Calibri"/>
                <w:sz w:val="16"/>
                <w:szCs w:val="16"/>
                <w:lang w:eastAsia="it-IT"/>
              </w:rPr>
              <w:t xml:space="preserve">Pari </w:t>
            </w:r>
            <w:proofErr w:type="spellStart"/>
            <w:r w:rsidRPr="009F2DDD">
              <w:rPr>
                <w:rFonts w:eastAsia="Times New Roman" w:cs="Calibri"/>
                <w:sz w:val="16"/>
                <w:szCs w:val="16"/>
                <w:lang w:eastAsia="it-IT"/>
              </w:rPr>
              <w:t>alla</w:t>
            </w:r>
            <w:proofErr w:type="spellEnd"/>
            <w:r w:rsidRPr="009F2DDD">
              <w:rPr>
                <w:rFonts w:eastAsia="Times New Roman" w:cs="Calibri"/>
                <w:sz w:val="16"/>
                <w:szCs w:val="16"/>
                <w:lang w:eastAsia="it-IT"/>
              </w:rPr>
              <w:t xml:space="preserve"> </w:t>
            </w:r>
            <w:proofErr w:type="spellStart"/>
            <w:r w:rsidRPr="009F2DDD">
              <w:rPr>
                <w:rFonts w:eastAsia="Times New Roman" w:cs="Calibri"/>
                <w:sz w:val="16"/>
                <w:szCs w:val="16"/>
                <w:lang w:eastAsia="it-IT"/>
              </w:rPr>
              <w:t>commissione</w:t>
            </w:r>
            <w:proofErr w:type="spellEnd"/>
            <w:r w:rsidRPr="009F2DDD">
              <w:rPr>
                <w:rFonts w:eastAsia="Times New Roman" w:cs="Calibri"/>
                <w:sz w:val="16"/>
                <w:szCs w:val="16"/>
                <w:lang w:eastAsia="it-IT"/>
              </w:rPr>
              <w:t xml:space="preserve"> </w:t>
            </w:r>
            <w:proofErr w:type="spellStart"/>
            <w:r w:rsidRPr="009F2DDD">
              <w:rPr>
                <w:rFonts w:eastAsia="Times New Roman" w:cs="Calibri"/>
                <w:sz w:val="16"/>
                <w:szCs w:val="16"/>
                <w:lang w:eastAsia="it-IT"/>
              </w:rPr>
              <w:t>pattuita</w:t>
            </w:r>
            <w:proofErr w:type="spellEnd"/>
            <w:r w:rsidRPr="009F2DDD">
              <w:rPr>
                <w:rFonts w:eastAsia="Times New Roman" w:cs="Calibri"/>
                <w:sz w:val="16"/>
                <w:szCs w:val="16"/>
                <w:lang w:eastAsia="it-IT"/>
              </w:rPr>
              <w:t xml:space="preserve"> in </w:t>
            </w:r>
            <w:proofErr w:type="spellStart"/>
            <w:r w:rsidRPr="009F2DDD">
              <w:rPr>
                <w:rFonts w:eastAsia="Times New Roman" w:cs="Calibri"/>
                <w:sz w:val="16"/>
                <w:szCs w:val="16"/>
                <w:lang w:eastAsia="it-IT"/>
              </w:rPr>
              <w:t>caso</w:t>
            </w:r>
            <w:proofErr w:type="spellEnd"/>
            <w:r w:rsidRPr="009F2DDD">
              <w:rPr>
                <w:rFonts w:eastAsia="Times New Roman" w:cs="Calibri"/>
                <w:sz w:val="16"/>
                <w:szCs w:val="16"/>
                <w:lang w:eastAsia="it-IT"/>
              </w:rPr>
              <w:t xml:space="preserve"> di </w:t>
            </w:r>
            <w:proofErr w:type="spellStart"/>
            <w:r w:rsidRPr="009F2DDD">
              <w:rPr>
                <w:rFonts w:eastAsia="Times New Roman" w:cs="Calibri"/>
                <w:sz w:val="16"/>
                <w:szCs w:val="16"/>
                <w:lang w:eastAsia="it-IT"/>
              </w:rPr>
              <w:t>mancata</w:t>
            </w:r>
            <w:proofErr w:type="spellEnd"/>
            <w:r w:rsidRPr="009F2DDD">
              <w:rPr>
                <w:rFonts w:eastAsia="Times New Roman" w:cs="Calibri"/>
                <w:sz w:val="16"/>
                <w:szCs w:val="16"/>
                <w:lang w:eastAsia="it-IT"/>
              </w:rPr>
              <w:t xml:space="preserve"> </w:t>
            </w:r>
            <w:proofErr w:type="spellStart"/>
            <w:r w:rsidRPr="009F2DDD">
              <w:rPr>
                <w:rFonts w:eastAsia="Times New Roman" w:cs="Calibri"/>
                <w:sz w:val="16"/>
                <w:szCs w:val="16"/>
                <w:lang w:eastAsia="it-IT"/>
              </w:rPr>
              <w:t>sottoscrizione</w:t>
            </w:r>
            <w:proofErr w:type="spellEnd"/>
            <w:r w:rsidRPr="009F2DDD">
              <w:rPr>
                <w:rFonts w:eastAsia="Times New Roman" w:cs="Calibri"/>
                <w:sz w:val="16"/>
                <w:szCs w:val="16"/>
                <w:lang w:eastAsia="it-IT"/>
              </w:rPr>
              <w:t xml:space="preserve"> da </w:t>
            </w:r>
            <w:proofErr w:type="spellStart"/>
            <w:r w:rsidRPr="009F2DDD">
              <w:rPr>
                <w:rFonts w:eastAsia="Times New Roman" w:cs="Calibri"/>
                <w:sz w:val="16"/>
                <w:szCs w:val="16"/>
                <w:lang w:eastAsia="it-IT"/>
              </w:rPr>
              <w:t>parte</w:t>
            </w:r>
            <w:proofErr w:type="spellEnd"/>
            <w:r w:rsidRPr="009F2DDD">
              <w:rPr>
                <w:rFonts w:eastAsia="Times New Roman" w:cs="Calibri"/>
                <w:sz w:val="16"/>
                <w:szCs w:val="16"/>
                <w:lang w:eastAsia="it-IT"/>
              </w:rPr>
              <w:t xml:space="preserve"> del Seller </w:t>
            </w:r>
            <w:proofErr w:type="spellStart"/>
            <w:r w:rsidRPr="009F2DDD">
              <w:rPr>
                <w:rFonts w:eastAsia="Times New Roman" w:cs="Calibri"/>
                <w:sz w:val="16"/>
                <w:szCs w:val="16"/>
                <w:lang w:eastAsia="it-IT"/>
              </w:rPr>
              <w:t>dei</w:t>
            </w:r>
            <w:proofErr w:type="spellEnd"/>
            <w:r w:rsidRPr="009F2DDD">
              <w:rPr>
                <w:rFonts w:eastAsia="Times New Roman" w:cs="Calibri"/>
                <w:sz w:val="16"/>
                <w:szCs w:val="16"/>
                <w:lang w:eastAsia="it-IT"/>
              </w:rPr>
              <w:t xml:space="preserve"> </w:t>
            </w:r>
            <w:proofErr w:type="spellStart"/>
            <w:r w:rsidRPr="009F2DDD">
              <w:rPr>
                <w:rFonts w:eastAsia="Times New Roman" w:cs="Calibri"/>
                <w:sz w:val="16"/>
                <w:szCs w:val="16"/>
                <w:lang w:eastAsia="it-IT"/>
              </w:rPr>
              <w:t>contratti</w:t>
            </w:r>
            <w:proofErr w:type="spellEnd"/>
            <w:r w:rsidRPr="009F2DDD">
              <w:rPr>
                <w:rFonts w:eastAsia="Times New Roman" w:cs="Calibri"/>
                <w:sz w:val="16"/>
                <w:szCs w:val="16"/>
                <w:lang w:eastAsia="it-IT"/>
              </w:rPr>
              <w:t xml:space="preserve"> di </w:t>
            </w:r>
            <w:proofErr w:type="spellStart"/>
            <w:r w:rsidRPr="009F2DDD">
              <w:rPr>
                <w:rFonts w:eastAsia="Times New Roman" w:cs="Calibri"/>
                <w:sz w:val="16"/>
                <w:szCs w:val="16"/>
                <w:lang w:eastAsia="it-IT"/>
              </w:rPr>
              <w:t>vendita</w:t>
            </w:r>
            <w:proofErr w:type="spellEnd"/>
            <w:r w:rsidRPr="009F2DDD">
              <w:rPr>
                <w:rFonts w:eastAsia="Times New Roman" w:cs="Calibri"/>
                <w:sz w:val="16"/>
                <w:szCs w:val="16"/>
                <w:lang w:eastAsia="it-IT"/>
              </w:rPr>
              <w:t xml:space="preserve"> (Sales &amp; Purchase Agreement e/o Atto </w:t>
            </w:r>
            <w:proofErr w:type="spellStart"/>
            <w:r w:rsidRPr="009F2DDD">
              <w:rPr>
                <w:rFonts w:eastAsia="Times New Roman" w:cs="Calibri"/>
                <w:sz w:val="16"/>
                <w:szCs w:val="16"/>
                <w:lang w:eastAsia="it-IT"/>
              </w:rPr>
              <w:t>notarile</w:t>
            </w:r>
            <w:proofErr w:type="spellEnd"/>
            <w:r w:rsidRPr="009F2DDD">
              <w:rPr>
                <w:rFonts w:eastAsia="Times New Roman" w:cs="Calibri"/>
                <w:sz w:val="16"/>
                <w:szCs w:val="16"/>
                <w:lang w:eastAsia="it-IT"/>
              </w:rPr>
              <w:t xml:space="preserve">) a </w:t>
            </w:r>
            <w:proofErr w:type="spellStart"/>
            <w:r w:rsidRPr="009F2DDD">
              <w:rPr>
                <w:rFonts w:eastAsia="Times New Roman" w:cs="Calibri"/>
                <w:sz w:val="16"/>
                <w:szCs w:val="16"/>
                <w:lang w:eastAsia="it-IT"/>
              </w:rPr>
              <w:t>seguoto</w:t>
            </w:r>
            <w:proofErr w:type="spellEnd"/>
            <w:r w:rsidRPr="009F2DDD">
              <w:rPr>
                <w:rFonts w:eastAsia="Times New Roman" w:cs="Calibri"/>
                <w:sz w:val="16"/>
                <w:szCs w:val="16"/>
                <w:lang w:eastAsia="it-IT"/>
              </w:rPr>
              <w:t xml:space="preserve"> di </w:t>
            </w:r>
            <w:proofErr w:type="spellStart"/>
            <w:r w:rsidRPr="009F2DDD">
              <w:rPr>
                <w:rFonts w:eastAsia="Times New Roman" w:cs="Calibri"/>
                <w:sz w:val="16"/>
                <w:szCs w:val="16"/>
                <w:lang w:eastAsia="it-IT"/>
              </w:rPr>
              <w:t>aggiudicazione</w:t>
            </w:r>
            <w:proofErr w:type="spellEnd"/>
            <w:r w:rsidRPr="009F2DDD">
              <w:rPr>
                <w:rFonts w:eastAsia="Times New Roman" w:cs="Calibri"/>
                <w:sz w:val="16"/>
                <w:szCs w:val="16"/>
                <w:lang w:eastAsia="it-IT"/>
              </w:rPr>
              <w:t xml:space="preserve"> in Asta del </w:t>
            </w:r>
            <w:proofErr w:type="spellStart"/>
            <w:r w:rsidRPr="009F2DDD">
              <w:rPr>
                <w:rFonts w:eastAsia="Times New Roman" w:cs="Calibri"/>
                <w:sz w:val="16"/>
                <w:szCs w:val="16"/>
                <w:lang w:eastAsia="it-IT"/>
              </w:rPr>
              <w:t>credito</w:t>
            </w:r>
            <w:proofErr w:type="spellEnd"/>
            <w:r w:rsidRPr="009F2DDD">
              <w:rPr>
                <w:rFonts w:eastAsia="Times New Roman" w:cs="Calibri"/>
                <w:sz w:val="16"/>
                <w:szCs w:val="16"/>
                <w:lang w:eastAsia="it-IT"/>
              </w:rPr>
              <w:t xml:space="preserve"> </w:t>
            </w:r>
            <w:proofErr w:type="spellStart"/>
            <w:r w:rsidRPr="009F2DDD">
              <w:rPr>
                <w:rFonts w:eastAsia="Times New Roman" w:cs="Calibri"/>
                <w:sz w:val="16"/>
                <w:szCs w:val="16"/>
                <w:lang w:eastAsia="it-IT"/>
              </w:rPr>
              <w:t>posto</w:t>
            </w:r>
            <w:proofErr w:type="spellEnd"/>
            <w:r w:rsidRPr="009F2DDD">
              <w:rPr>
                <w:rFonts w:eastAsia="Times New Roman" w:cs="Calibri"/>
                <w:sz w:val="16"/>
                <w:szCs w:val="16"/>
                <w:lang w:eastAsia="it-IT"/>
              </w:rPr>
              <w:t xml:space="preserve"> in </w:t>
            </w:r>
            <w:proofErr w:type="spellStart"/>
            <w:r w:rsidRPr="009F2DDD">
              <w:rPr>
                <w:rFonts w:eastAsia="Times New Roman" w:cs="Calibri"/>
                <w:sz w:val="16"/>
                <w:szCs w:val="16"/>
                <w:lang w:eastAsia="it-IT"/>
              </w:rPr>
              <w:t>vendita</w:t>
            </w:r>
            <w:proofErr w:type="spellEnd"/>
            <w:r w:rsidRPr="009F2DDD">
              <w:rPr>
                <w:rFonts w:eastAsia="Times New Roman" w:cs="Calibri"/>
                <w:sz w:val="16"/>
                <w:szCs w:val="16"/>
                <w:lang w:eastAsia="it-IT"/>
              </w:rPr>
              <w:t xml:space="preserve"> - Equal to the agreed fees in the event of the Seller or Buyer not signing the sales contracts (Sales &amp; Purchase Agreement and / or Notarial Deed) following the auction award of the claim offered for sale.</w:t>
            </w:r>
          </w:p>
        </w:tc>
      </w:tr>
      <w:tr w:rsidR="00284F5E" w:rsidRPr="008B3191" w14:paraId="4404120A" w14:textId="77777777" w:rsidTr="0041457C">
        <w:tc>
          <w:tcPr>
            <w:tcW w:w="2235" w:type="dxa"/>
            <w:shd w:val="clear" w:color="auto" w:fill="auto"/>
          </w:tcPr>
          <w:p w14:paraId="040A9A45" w14:textId="77777777" w:rsidR="00284F5E" w:rsidRPr="008B3191" w:rsidRDefault="00284F5E" w:rsidP="0041457C">
            <w:pPr>
              <w:jc w:val="both"/>
              <w:rPr>
                <w:rFonts w:eastAsia="Times New Roman" w:cs="Calibri"/>
                <w:sz w:val="16"/>
                <w:szCs w:val="16"/>
                <w:lang w:eastAsia="it-IT"/>
              </w:rPr>
            </w:pPr>
            <w:r w:rsidRPr="008B3191">
              <w:rPr>
                <w:rFonts w:eastAsia="Times New Roman" w:cs="Calibri"/>
                <w:sz w:val="16"/>
                <w:szCs w:val="16"/>
                <w:lang w:eastAsia="it-IT"/>
              </w:rPr>
              <w:t>Imposte / Taxes</w:t>
            </w:r>
          </w:p>
        </w:tc>
        <w:tc>
          <w:tcPr>
            <w:tcW w:w="7546" w:type="dxa"/>
            <w:shd w:val="clear" w:color="auto" w:fill="auto"/>
          </w:tcPr>
          <w:p w14:paraId="25CCFC9E" w14:textId="77777777" w:rsidR="00284F5E" w:rsidRPr="008B3191" w:rsidRDefault="00284F5E" w:rsidP="0041457C">
            <w:pPr>
              <w:jc w:val="both"/>
              <w:rPr>
                <w:rFonts w:eastAsia="Times New Roman" w:cs="Calibri"/>
                <w:sz w:val="16"/>
                <w:szCs w:val="16"/>
                <w:lang w:val="it-IT" w:eastAsia="it-IT"/>
              </w:rPr>
            </w:pPr>
            <w:r w:rsidRPr="008B3191">
              <w:rPr>
                <w:rFonts w:eastAsia="Times New Roman" w:cs="Calibri"/>
                <w:sz w:val="16"/>
                <w:szCs w:val="16"/>
                <w:lang w:val="it-IT" w:eastAsia="it-IT"/>
              </w:rPr>
              <w:t>Incluse nella commissione – included in the fees</w:t>
            </w:r>
          </w:p>
        </w:tc>
      </w:tr>
    </w:tbl>
    <w:p w14:paraId="28747CAD" w14:textId="17DFC880" w:rsidR="00284F5E" w:rsidRDefault="00284F5E" w:rsidP="005A5DE7">
      <w:pPr>
        <w:spacing w:line="239" w:lineRule="auto"/>
        <w:rPr>
          <w:rFonts w:ascii="Arial" w:hAnsi="Arial"/>
        </w:rPr>
      </w:pPr>
    </w:p>
    <w:p w14:paraId="7F1B8D32" w14:textId="5F04A7EE" w:rsidR="00284F5E" w:rsidRDefault="00284F5E" w:rsidP="005A5DE7">
      <w:pPr>
        <w:spacing w:line="239" w:lineRule="auto"/>
        <w:rPr>
          <w:rFonts w:ascii="Arial" w:hAnsi="Arial"/>
        </w:rPr>
      </w:pPr>
    </w:p>
    <w:p w14:paraId="50AB3D89" w14:textId="0F75D18D" w:rsidR="00284F5E" w:rsidRDefault="001E13B6" w:rsidP="005A5DE7">
      <w:pPr>
        <w:spacing w:line="239" w:lineRule="auto"/>
        <w:rPr>
          <w:rFonts w:ascii="Arial" w:hAnsi="Arial"/>
        </w:rPr>
      </w:pPr>
      <w:r>
        <w:rPr>
          <w:rFonts w:ascii="Arial" w:hAnsi="Arial"/>
        </w:rPr>
        <w:t>(</w:t>
      </w:r>
      <w:proofErr w:type="spellStart"/>
      <w:r>
        <w:rPr>
          <w:rFonts w:ascii="Arial" w:hAnsi="Arial"/>
        </w:rPr>
        <w:t>Inserire</w:t>
      </w:r>
      <w:proofErr w:type="spellEnd"/>
      <w:r>
        <w:rPr>
          <w:rFonts w:ascii="Arial" w:hAnsi="Arial"/>
        </w:rPr>
        <w:t xml:space="preserve"> </w:t>
      </w:r>
      <w:proofErr w:type="spellStart"/>
      <w:r>
        <w:rPr>
          <w:rFonts w:ascii="Arial" w:hAnsi="Arial"/>
        </w:rPr>
        <w:t>scheda</w:t>
      </w:r>
      <w:proofErr w:type="spellEnd"/>
      <w:r>
        <w:rPr>
          <w:rFonts w:ascii="Arial" w:hAnsi="Arial"/>
        </w:rPr>
        <w:t xml:space="preserve"> </w:t>
      </w:r>
      <w:proofErr w:type="spellStart"/>
      <w:r>
        <w:rPr>
          <w:rFonts w:ascii="Arial" w:hAnsi="Arial"/>
        </w:rPr>
        <w:t>spiegazione</w:t>
      </w:r>
      <w:proofErr w:type="spellEnd"/>
      <w:r>
        <w:rPr>
          <w:rFonts w:ascii="Arial" w:hAnsi="Arial"/>
        </w:rPr>
        <w:t xml:space="preserve"> rating)</w:t>
      </w:r>
    </w:p>
    <w:tbl>
      <w:tblPr>
        <w:tblW w:w="9900" w:type="dxa"/>
        <w:tblBorders>
          <w:insideV w:val="single" w:sz="4" w:space="0" w:color="44546A"/>
        </w:tblBorders>
        <w:tblLook w:val="06A0" w:firstRow="1" w:lastRow="0" w:firstColumn="1" w:lastColumn="0" w:noHBand="1" w:noVBand="1"/>
      </w:tblPr>
      <w:tblGrid>
        <w:gridCol w:w="9900"/>
      </w:tblGrid>
      <w:tr w:rsidR="00A0737E" w:rsidRPr="00532EBF" w14:paraId="047EE6C5" w14:textId="77777777" w:rsidTr="00A0737E">
        <w:trPr>
          <w:trHeight w:val="10298"/>
        </w:trPr>
        <w:tc>
          <w:tcPr>
            <w:tcW w:w="9900" w:type="dxa"/>
            <w:shd w:val="clear" w:color="auto" w:fill="auto"/>
          </w:tcPr>
          <w:p w14:paraId="6F0F332F" w14:textId="4D924858" w:rsidR="00A0737E" w:rsidRPr="003F4916" w:rsidRDefault="00A0737E" w:rsidP="003F4916">
            <w:pPr>
              <w:pStyle w:val="ListParagraph"/>
              <w:numPr>
                <w:ilvl w:val="0"/>
                <w:numId w:val="27"/>
              </w:numPr>
              <w:ind w:left="456" w:hanging="283"/>
              <w:jc w:val="both"/>
              <w:rPr>
                <w:rFonts w:ascii="Arial" w:hAnsi="Arial"/>
                <w:b/>
                <w:lang w:val="it-IT"/>
              </w:rPr>
            </w:pPr>
            <w:r w:rsidRPr="003F4916">
              <w:rPr>
                <w:rFonts w:ascii="Arial" w:hAnsi="Arial"/>
                <w:b/>
                <w:lang w:val="it-IT"/>
              </w:rPr>
              <w:lastRenderedPageBreak/>
              <w:t>CARATTERISTICHE E RISCHI TIPICI DELLA MEDIAZIONE CREDITIZIA</w:t>
            </w:r>
          </w:p>
          <w:p w14:paraId="47A4824A" w14:textId="77777777" w:rsidR="00A0737E" w:rsidRDefault="00A0737E" w:rsidP="008B3191">
            <w:pPr>
              <w:jc w:val="both"/>
              <w:rPr>
                <w:rFonts w:ascii="Arial" w:eastAsia="Times New Roman" w:hAnsi="Arial"/>
                <w:lang w:val="it-IT" w:eastAsia="it-IT"/>
              </w:rPr>
            </w:pPr>
          </w:p>
          <w:p w14:paraId="352B8397" w14:textId="50898AF4" w:rsidR="00A0737E" w:rsidRPr="008B3191" w:rsidRDefault="00A0737E" w:rsidP="008B3191">
            <w:pPr>
              <w:jc w:val="both"/>
              <w:rPr>
                <w:rFonts w:ascii="Arial" w:eastAsia="Times New Roman" w:hAnsi="Arial"/>
                <w:lang w:val="it-IT" w:eastAsia="it-IT"/>
              </w:rPr>
            </w:pPr>
            <w:r w:rsidRPr="008B3191">
              <w:rPr>
                <w:rFonts w:ascii="Arial" w:eastAsia="Times New Roman" w:hAnsi="Arial"/>
                <w:lang w:val="it-IT" w:eastAsia="it-IT"/>
              </w:rPr>
              <w:t>Il servizio effettuato da TaxChange cconsiste nel mettere in relazione, attraverso la gestione della Piattaforma, i Buyer con i Seller ai fini della cessione dei crediti fiscali. Ai sensi dell’Art. 128-sexies del TUB, tale servizio si configura quale attività di  mediazione creditizia che consiste nel mettere in relazione, anche attraverso attività di consulenza, banche o società finanziarie con la potenziale clientela per la concessione di finanziamenti sotto qualsiasi forma. Il Mediatore Creditizio svolge la propria attività senza essere legato ad alcuna delle parti da rapporti che ne possano compromettere l’indipendenza. Può percepire il proprio compenso da entrambe le parti se l’affare è concluso per effetto del suo intervento. L’attività di mediazione creditizia non comporta alcuna garanzia in relazione alla concreta concessione ed erogazione del finanziamento richiesto (acquisto del credito fiscale posto in asta) e ai tempi e alle condizioni richieste per il perfezionamento dell’operazione. Il rischio, pertanto, di non reperire una banca o una finanziaria disposta a concedere il finanziamento (acquisto del credito fiscale) rimane ad esclusivo carico del Cliente (Seller)  e nessuna responsabilità è ascrivibile al Mediatore Creditizio.</w:t>
            </w:r>
          </w:p>
          <w:p w14:paraId="616418E3" w14:textId="77777777" w:rsidR="00A0737E" w:rsidRPr="008B3191" w:rsidRDefault="00A0737E" w:rsidP="008B3191">
            <w:pPr>
              <w:tabs>
                <w:tab w:val="left" w:pos="1440"/>
              </w:tabs>
              <w:spacing w:line="276" w:lineRule="auto"/>
              <w:jc w:val="both"/>
              <w:rPr>
                <w:rFonts w:ascii="Arial" w:hAnsi="Arial"/>
                <w:lang w:val="it-IT"/>
              </w:rPr>
            </w:pPr>
          </w:p>
          <w:p w14:paraId="581B9EEB" w14:textId="5C2A5392" w:rsidR="00A0737E" w:rsidRPr="008B3191" w:rsidRDefault="00A0737E" w:rsidP="00BB6E21">
            <w:pPr>
              <w:pStyle w:val="ListParagraph"/>
              <w:numPr>
                <w:ilvl w:val="0"/>
                <w:numId w:val="27"/>
              </w:numPr>
              <w:ind w:left="456" w:right="-113"/>
              <w:rPr>
                <w:rStyle w:val="Emphasis"/>
                <w:rFonts w:ascii="Arial" w:hAnsi="Arial"/>
                <w:i w:val="0"/>
                <w:iCs w:val="0"/>
                <w:lang w:val="it-IT"/>
              </w:rPr>
            </w:pPr>
            <w:r w:rsidRPr="008B3191">
              <w:rPr>
                <w:rFonts w:ascii="Arial" w:hAnsi="Arial"/>
                <w:b/>
                <w:lang w:val="it-IT"/>
              </w:rPr>
              <w:t>SINTESI DELLE CLAUSOLE CONTRATTUALI CHE REGOLANO L’ACCORDO RELATIVO ALL’ACCESSO E ALL’UTILIZZO DELLA PIATTAFORMA;  “MEMBERSHIP AGREEMENT” e “REGOLAMENTO</w:t>
            </w:r>
            <w:r w:rsidRPr="008B3191">
              <w:rPr>
                <w:rFonts w:cs="Calibri"/>
                <w:b/>
                <w:sz w:val="18"/>
                <w:szCs w:val="18"/>
                <w:lang w:val="it-IT"/>
              </w:rPr>
              <w:t>”</w:t>
            </w:r>
          </w:p>
          <w:p w14:paraId="36AC9123" w14:textId="77777777" w:rsidR="00A0737E" w:rsidRPr="008B3191" w:rsidRDefault="00A0737E" w:rsidP="008B3191">
            <w:pPr>
              <w:pStyle w:val="BodyText"/>
              <w:kinsoku w:val="0"/>
              <w:overflowPunct w:val="0"/>
              <w:spacing w:before="1"/>
              <w:jc w:val="both"/>
              <w:rPr>
                <w:rFonts w:ascii="Arial" w:eastAsia="Calibri" w:hAnsi="Arial" w:cs="Arial"/>
                <w:sz w:val="20"/>
                <w:szCs w:val="20"/>
                <w:lang w:eastAsia="en-US"/>
              </w:rPr>
            </w:pPr>
          </w:p>
          <w:p w14:paraId="1548B78C" w14:textId="77777777" w:rsidR="00A0737E" w:rsidRPr="008B3191" w:rsidRDefault="00A0737E" w:rsidP="008B3191">
            <w:pPr>
              <w:autoSpaceDE w:val="0"/>
              <w:autoSpaceDN w:val="0"/>
              <w:adjustRightInd w:val="0"/>
              <w:jc w:val="both"/>
              <w:rPr>
                <w:rFonts w:ascii="Arial" w:eastAsia="Times New Roman" w:hAnsi="Arial"/>
                <w:b/>
                <w:lang w:val="it-IT" w:eastAsia="it-IT"/>
              </w:rPr>
            </w:pPr>
            <w:r w:rsidRPr="008B3191">
              <w:rPr>
                <w:rFonts w:ascii="Arial" w:eastAsia="Times New Roman" w:hAnsi="Arial"/>
                <w:b/>
                <w:lang w:val="it-IT" w:eastAsia="it-IT"/>
              </w:rPr>
              <w:t>Finalità del contratto di Membership Agreement e del “Regolamento”</w:t>
            </w:r>
          </w:p>
          <w:p w14:paraId="21B62272" w14:textId="77777777" w:rsidR="00A0737E" w:rsidRPr="008B3191" w:rsidRDefault="00A0737E" w:rsidP="008B3191">
            <w:pPr>
              <w:autoSpaceDE w:val="0"/>
              <w:autoSpaceDN w:val="0"/>
              <w:adjustRightInd w:val="0"/>
              <w:jc w:val="both"/>
              <w:rPr>
                <w:rFonts w:ascii="Arial" w:eastAsia="Times New Roman" w:hAnsi="Arial"/>
                <w:lang w:val="it-IT" w:eastAsia="it-IT"/>
              </w:rPr>
            </w:pPr>
            <w:r w:rsidRPr="008B3191">
              <w:rPr>
                <w:rFonts w:ascii="Arial" w:eastAsia="Times New Roman" w:hAnsi="Arial"/>
                <w:lang w:val="it-IT" w:eastAsia="it-IT"/>
              </w:rPr>
              <w:t>Il “Membership Agreement”, unitamente al “Regolamento” che ne costituisce parte integrante, definisce  i termini e le condizioni di accesso e di utilizzo della piattaforma ai fini della cessione di crediti fiscali, nonché i costi di adesione e e le  commissioni dovute dal partecipante alla Società per ciascuna procedura di vendita di crediti aggiudicata sulla piattaforma e le relative modalità di pagamento.</w:t>
            </w:r>
          </w:p>
          <w:p w14:paraId="635425CF" w14:textId="77777777" w:rsidR="00A0737E" w:rsidRPr="008B3191" w:rsidRDefault="00A0737E" w:rsidP="008B3191">
            <w:pPr>
              <w:autoSpaceDE w:val="0"/>
              <w:autoSpaceDN w:val="0"/>
              <w:adjustRightInd w:val="0"/>
              <w:jc w:val="both"/>
              <w:rPr>
                <w:rFonts w:ascii="Arial" w:eastAsia="Times New Roman" w:hAnsi="Arial"/>
                <w:lang w:val="it-IT" w:eastAsia="it-IT"/>
              </w:rPr>
            </w:pPr>
          </w:p>
          <w:p w14:paraId="2E3B7175" w14:textId="77777777" w:rsidR="00A0737E" w:rsidRPr="008B3191" w:rsidRDefault="00A0737E" w:rsidP="008B3191">
            <w:pPr>
              <w:autoSpaceDE w:val="0"/>
              <w:autoSpaceDN w:val="0"/>
              <w:adjustRightInd w:val="0"/>
              <w:jc w:val="both"/>
              <w:rPr>
                <w:rFonts w:ascii="Arial" w:eastAsia="Times New Roman" w:hAnsi="Arial"/>
                <w:b/>
                <w:lang w:val="it-IT" w:eastAsia="it-IT"/>
              </w:rPr>
            </w:pPr>
            <w:r w:rsidRPr="008B3191">
              <w:rPr>
                <w:rFonts w:ascii="Arial" w:eastAsia="Times New Roman" w:hAnsi="Arial"/>
                <w:b/>
                <w:lang w:val="it-IT" w:eastAsia="it-IT"/>
              </w:rPr>
              <w:t>Diritti del Cliente</w:t>
            </w:r>
          </w:p>
          <w:p w14:paraId="397C67A0" w14:textId="77777777" w:rsidR="00A0737E" w:rsidRPr="008B3191" w:rsidRDefault="00A0737E" w:rsidP="008B3191">
            <w:pPr>
              <w:autoSpaceDE w:val="0"/>
              <w:autoSpaceDN w:val="0"/>
              <w:adjustRightInd w:val="0"/>
              <w:jc w:val="both"/>
              <w:rPr>
                <w:rFonts w:ascii="Arial" w:eastAsia="Times New Roman" w:hAnsi="Arial"/>
                <w:lang w:val="it-IT" w:eastAsia="it-IT"/>
              </w:rPr>
            </w:pPr>
            <w:r w:rsidRPr="008B3191">
              <w:rPr>
                <w:rFonts w:ascii="Arial" w:eastAsia="Times New Roman" w:hAnsi="Arial"/>
                <w:lang w:val="it-IT" w:eastAsia="it-IT"/>
              </w:rPr>
              <w:t xml:space="preserve">Premesso che l’attività di TaxChange è svolta solo attraverso l’utilizzo della piattaforma e mediante l’utilizzo di tecniche di comunicazione a distanza, il Foglio Informativo, datato ed aggiornato, è scaricabile in formato pdf e stampabile accedendo al sito </w:t>
            </w:r>
            <w:hyperlink r:id="rId12" w:history="1">
              <w:r w:rsidRPr="008B3191">
                <w:rPr>
                  <w:rStyle w:val="Hyperlink"/>
                  <w:rFonts w:ascii="Arial" w:eastAsia="Times New Roman" w:hAnsi="Arial"/>
                  <w:lang w:val="it-IT" w:eastAsia="it-IT"/>
                </w:rPr>
                <w:t>www.txcmarkets.com</w:t>
              </w:r>
            </w:hyperlink>
            <w:r w:rsidRPr="008B3191">
              <w:rPr>
                <w:rFonts w:ascii="Arial" w:hAnsi="Arial"/>
                <w:lang w:val="it-IT"/>
              </w:rPr>
              <w:t>.</w:t>
            </w:r>
          </w:p>
          <w:p w14:paraId="74A041F5" w14:textId="77777777" w:rsidR="00A0737E" w:rsidRPr="008B3191" w:rsidRDefault="00A0737E" w:rsidP="008B3191">
            <w:pPr>
              <w:autoSpaceDE w:val="0"/>
              <w:autoSpaceDN w:val="0"/>
              <w:adjustRightInd w:val="0"/>
              <w:jc w:val="both"/>
              <w:rPr>
                <w:rFonts w:ascii="Arial" w:eastAsia="Times New Roman" w:hAnsi="Arial"/>
                <w:lang w:val="it-IT" w:eastAsia="it-IT"/>
              </w:rPr>
            </w:pPr>
            <w:r w:rsidRPr="008B3191">
              <w:rPr>
                <w:rFonts w:ascii="Arial" w:eastAsia="Times New Roman" w:hAnsi="Arial"/>
                <w:lang w:val="it-IT" w:eastAsia="it-IT"/>
              </w:rPr>
              <w:t>Il Cliente ha diritto di ricevere copia del contratto di “Membership Agreement”e del relativo allegato “Regolamento della piattaforma” in forma scritta.</w:t>
            </w:r>
          </w:p>
          <w:p w14:paraId="430F563B" w14:textId="77777777" w:rsidR="00A0737E" w:rsidRPr="008B3191" w:rsidRDefault="00A0737E" w:rsidP="008B3191">
            <w:pPr>
              <w:autoSpaceDE w:val="0"/>
              <w:autoSpaceDN w:val="0"/>
              <w:adjustRightInd w:val="0"/>
              <w:jc w:val="both"/>
              <w:rPr>
                <w:rFonts w:ascii="Arial" w:eastAsia="Times New Roman" w:hAnsi="Arial"/>
                <w:b/>
                <w:lang w:val="it-IT" w:eastAsia="it-IT"/>
              </w:rPr>
            </w:pPr>
          </w:p>
          <w:p w14:paraId="3E6BE396" w14:textId="77777777" w:rsidR="00A0737E" w:rsidRPr="008B3191" w:rsidRDefault="00A0737E" w:rsidP="008B3191">
            <w:pPr>
              <w:tabs>
                <w:tab w:val="left" w:pos="7250"/>
              </w:tabs>
              <w:autoSpaceDE w:val="0"/>
              <w:autoSpaceDN w:val="0"/>
              <w:adjustRightInd w:val="0"/>
              <w:rPr>
                <w:rFonts w:ascii="Arial" w:eastAsia="Times New Roman" w:hAnsi="Arial"/>
                <w:b/>
                <w:lang w:val="it-IT" w:eastAsia="it-IT"/>
              </w:rPr>
            </w:pPr>
            <w:r w:rsidRPr="008B3191">
              <w:rPr>
                <w:rFonts w:ascii="Arial" w:eastAsia="Times New Roman" w:hAnsi="Arial"/>
                <w:b/>
                <w:lang w:val="it-IT" w:eastAsia="it-IT"/>
              </w:rPr>
              <w:t>Obblighi del Cliente</w:t>
            </w:r>
          </w:p>
          <w:p w14:paraId="4C06B647" w14:textId="77777777" w:rsidR="00A0737E" w:rsidRPr="008B3191" w:rsidRDefault="00A0737E" w:rsidP="008B3191">
            <w:pPr>
              <w:tabs>
                <w:tab w:val="left" w:pos="7250"/>
              </w:tabs>
              <w:autoSpaceDE w:val="0"/>
              <w:autoSpaceDN w:val="0"/>
              <w:adjustRightInd w:val="0"/>
              <w:jc w:val="both"/>
              <w:rPr>
                <w:rFonts w:ascii="Arial" w:eastAsia="Times New Roman" w:hAnsi="Arial"/>
                <w:b/>
                <w:lang w:val="it-IT" w:eastAsia="it-IT"/>
              </w:rPr>
            </w:pPr>
            <w:r w:rsidRPr="008B3191">
              <w:rPr>
                <w:rFonts w:ascii="Arial" w:eastAsia="Times New Roman" w:hAnsi="Arial"/>
                <w:lang w:val="it-IT" w:eastAsia="it-IT"/>
              </w:rPr>
              <w:t xml:space="preserve">Il Seller s’impegna a mettere a disposizione nella piattaforma crediti reali ed esigibili; si impegna altresì a fornire la documentazione richiesta da Taxchange e le eventuali ulteriori informazioni necessarie per consentire la valutazione del credito fiscale da cedere (Due diligence light o estesa). </w:t>
            </w:r>
          </w:p>
          <w:p w14:paraId="388B91E4" w14:textId="77777777" w:rsidR="00A0737E" w:rsidRPr="008B3191" w:rsidRDefault="00A0737E" w:rsidP="008B3191">
            <w:pPr>
              <w:jc w:val="both"/>
              <w:rPr>
                <w:rFonts w:ascii="Arial" w:eastAsia="Times New Roman" w:hAnsi="Arial"/>
                <w:lang w:val="it-IT" w:eastAsia="it-IT"/>
              </w:rPr>
            </w:pPr>
            <w:r w:rsidRPr="008B3191">
              <w:rPr>
                <w:rFonts w:ascii="Arial" w:eastAsia="Times New Roman" w:hAnsi="Arial"/>
                <w:lang w:val="it-IT" w:eastAsia="it-IT"/>
              </w:rPr>
              <w:t>Esclusiva: al termine della Due Diligence “Light”, se il Seller decide di offrire quel determinato credito nella Piattaforma in Asta, lo stesso si impegna a non cedere, per un periodo di 30 giorni, tale credito a soggetti terzi non registrati come Buyer o ai Buyer stessi al di fuori della Piattaforma e ad un valore diverso rispetto a quello compreso nel range di prezzo determinato nella Due Diligence.</w:t>
            </w:r>
          </w:p>
          <w:p w14:paraId="5D68B856" w14:textId="77777777" w:rsidR="00A0737E" w:rsidRPr="008B3191" w:rsidRDefault="00A0737E" w:rsidP="008B3191">
            <w:pPr>
              <w:jc w:val="both"/>
              <w:rPr>
                <w:rFonts w:ascii="Arial" w:eastAsia="Times New Roman" w:hAnsi="Arial"/>
                <w:lang w:val="it-IT" w:eastAsia="it-IT"/>
              </w:rPr>
            </w:pPr>
            <w:r w:rsidRPr="008B3191">
              <w:rPr>
                <w:rFonts w:ascii="Arial" w:eastAsia="Times New Roman" w:hAnsi="Arial"/>
                <w:lang w:val="it-IT" w:eastAsia="it-IT"/>
              </w:rPr>
              <w:t>Nel caso di esito positivo della proposta di vendita in asta, il Seller s’impegna a sottoscrivere i conseguenti contratti di vendita (“Purchase and Sales Agreement” e Atto Notarile).</w:t>
            </w:r>
          </w:p>
          <w:p w14:paraId="15749349" w14:textId="0C420654" w:rsidR="00A0737E" w:rsidRDefault="00A0737E" w:rsidP="008B3191">
            <w:pPr>
              <w:jc w:val="both"/>
              <w:rPr>
                <w:rFonts w:ascii="Arial" w:eastAsia="Times New Roman" w:hAnsi="Arial"/>
                <w:lang w:val="it-IT" w:eastAsia="it-IT"/>
              </w:rPr>
            </w:pPr>
            <w:r w:rsidRPr="008B3191">
              <w:rPr>
                <w:rFonts w:ascii="Arial" w:eastAsia="Times New Roman" w:hAnsi="Arial"/>
                <w:lang w:val="it-IT" w:eastAsia="it-IT"/>
              </w:rPr>
              <w:t>Il Cliente è tenuto al pagamento di una quota di partecipazione alla piattaforma su base annaule e di una commissione  per ciascuna procedura di vendita aggiudicata sulla piattaforma stessa</w:t>
            </w:r>
            <w:r w:rsidRPr="00FC3668">
              <w:rPr>
                <w:rFonts w:ascii="Arial" w:eastAsia="Times New Roman" w:hAnsi="Arial"/>
                <w:lang w:val="it-IT" w:eastAsia="it-IT"/>
              </w:rPr>
              <w:t xml:space="preserve"> </w:t>
            </w:r>
            <w:r w:rsidRPr="008B3191">
              <w:rPr>
                <w:rFonts w:ascii="Arial" w:eastAsia="Times New Roman" w:hAnsi="Arial"/>
                <w:lang w:val="it-IT" w:eastAsia="it-IT"/>
              </w:rPr>
              <w:t>ai termini e alle condizioni pattuiti.</w:t>
            </w:r>
          </w:p>
          <w:p w14:paraId="5BF97F68" w14:textId="30AA6F6B" w:rsidR="00A0737E" w:rsidRPr="00FC3668" w:rsidRDefault="00A0737E" w:rsidP="008B3191">
            <w:pPr>
              <w:jc w:val="both"/>
              <w:rPr>
                <w:rFonts w:ascii="Arial" w:eastAsia="Times New Roman" w:hAnsi="Arial"/>
                <w:lang w:val="it-IT" w:eastAsia="it-IT"/>
              </w:rPr>
            </w:pPr>
            <w:r w:rsidRPr="00FC3668">
              <w:rPr>
                <w:rFonts w:ascii="Arial" w:eastAsia="Times New Roman" w:hAnsi="Arial"/>
                <w:lang w:val="it-IT" w:eastAsia="it-IT"/>
              </w:rPr>
              <w:t>In via di principio, il diritto del Mediatore Creditizio a percepire il corrispettivo sorge con l’accettazione della delibera di finanziamento/locazione finanziaria e della correlata documentazione contrattuale da parte del Cliente e sarà esigibile decorsi 10 (dieci) giorni dalla data di prima erogazione del finanziamento/decorrenza del contratto di locazione finanziaria. Il corrispettivo dovrà essere pagato dal Cliente in un’unica soluzione, dietro presentazione di corrispondente fattura fiscale da parte del Mediatore Creditizio.</w:t>
            </w:r>
          </w:p>
          <w:p w14:paraId="34431B68" w14:textId="77777777" w:rsidR="00A0737E" w:rsidRPr="008B3191" w:rsidRDefault="00A0737E" w:rsidP="008B3191">
            <w:pPr>
              <w:autoSpaceDE w:val="0"/>
              <w:autoSpaceDN w:val="0"/>
              <w:adjustRightInd w:val="0"/>
              <w:jc w:val="both"/>
              <w:rPr>
                <w:rFonts w:ascii="Arial" w:eastAsia="Times New Roman" w:hAnsi="Arial"/>
                <w:b/>
                <w:lang w:val="it-IT" w:eastAsia="it-IT"/>
              </w:rPr>
            </w:pPr>
          </w:p>
          <w:p w14:paraId="0D7F2DFD" w14:textId="661157F2" w:rsidR="00A0737E" w:rsidRPr="008B3191" w:rsidRDefault="00A0737E" w:rsidP="008B3191">
            <w:pPr>
              <w:autoSpaceDE w:val="0"/>
              <w:autoSpaceDN w:val="0"/>
              <w:adjustRightInd w:val="0"/>
              <w:jc w:val="both"/>
              <w:rPr>
                <w:rFonts w:ascii="Arial" w:eastAsia="Times New Roman" w:hAnsi="Arial"/>
                <w:b/>
                <w:lang w:val="it-IT" w:eastAsia="it-IT"/>
              </w:rPr>
            </w:pPr>
            <w:r w:rsidRPr="008B3191">
              <w:rPr>
                <w:rFonts w:ascii="Arial" w:eastAsia="Times New Roman" w:hAnsi="Arial"/>
                <w:b/>
                <w:lang w:val="it-IT" w:eastAsia="it-IT"/>
              </w:rPr>
              <w:t>Obblighi di Ta</w:t>
            </w:r>
            <w:r>
              <w:rPr>
                <w:rFonts w:ascii="Arial" w:eastAsia="Times New Roman" w:hAnsi="Arial"/>
                <w:b/>
                <w:lang w:val="it-IT" w:eastAsia="it-IT"/>
              </w:rPr>
              <w:t>Xc</w:t>
            </w:r>
            <w:r w:rsidRPr="008B3191">
              <w:rPr>
                <w:rFonts w:ascii="Arial" w:eastAsia="Times New Roman" w:hAnsi="Arial"/>
                <w:b/>
                <w:lang w:val="it-IT" w:eastAsia="it-IT"/>
              </w:rPr>
              <w:t>hange e limitazioni di responsabilità</w:t>
            </w:r>
          </w:p>
          <w:p w14:paraId="63140824" w14:textId="77777777" w:rsidR="00A0737E" w:rsidRPr="008B3191" w:rsidRDefault="00A0737E" w:rsidP="008B3191">
            <w:pPr>
              <w:autoSpaceDE w:val="0"/>
              <w:autoSpaceDN w:val="0"/>
              <w:adjustRightInd w:val="0"/>
              <w:jc w:val="both"/>
              <w:rPr>
                <w:rFonts w:ascii="Arial" w:eastAsia="Times New Roman" w:hAnsi="Arial"/>
                <w:lang w:val="it-IT" w:eastAsia="it-IT"/>
              </w:rPr>
            </w:pPr>
            <w:r w:rsidRPr="008B3191">
              <w:rPr>
                <w:rFonts w:ascii="Arial" w:eastAsia="Times New Roman" w:hAnsi="Arial"/>
                <w:lang w:val="it-IT" w:eastAsia="it-IT"/>
              </w:rPr>
              <w:t xml:space="preserve">TaxChange si impegna ad effettuare la valutazione dei crediti da proporre in asta e a comunicare l’esito della Due Diligence effettuata. La Società, in quanto mediatore creditizio, è tenuta agli obblighi di identificazione ed adeguata verifica della clientela ai fini della normativa in materia di contrasto al riciclaggio e al finanziamento del terrorismo. In caso di inadempimento di TaxChange agli obblighi assunti ai sensi del Regolamento, la stessa sarà responsabile nei confronti dek Seller esclusivamente per danni causati con dolo o colpa grave. </w:t>
            </w:r>
            <w:r w:rsidRPr="008B3191">
              <w:rPr>
                <w:rFonts w:ascii="Arial" w:eastAsia="Times New Roman" w:hAnsi="Arial"/>
                <w:lang w:val="it-IT" w:eastAsia="it-IT"/>
              </w:rPr>
              <w:lastRenderedPageBreak/>
              <w:t>Inoltre, la Società non garantisce la piena e costante funzionalità della Piattaforma in ogni momento (incluso nel corso della fase di Asta), né presta garanzie di altro tipo, implicite o esplicite, in relazione alle funzionalità e ai servizi messi a disposizione dalla stessa, fermo restando l’impegno ad intervenire per cercare di rimediare ad eventuali disfunzioni della Piattaforma.</w:t>
            </w:r>
          </w:p>
          <w:p w14:paraId="128946FD" w14:textId="77777777" w:rsidR="00A0737E" w:rsidRPr="008B3191" w:rsidRDefault="00A0737E" w:rsidP="008B3191">
            <w:pPr>
              <w:autoSpaceDE w:val="0"/>
              <w:autoSpaceDN w:val="0"/>
              <w:adjustRightInd w:val="0"/>
              <w:jc w:val="both"/>
              <w:rPr>
                <w:rFonts w:ascii="Arial" w:eastAsia="Times New Roman" w:hAnsi="Arial"/>
                <w:b/>
                <w:lang w:val="it-IT" w:eastAsia="it-IT"/>
              </w:rPr>
            </w:pPr>
            <w:r w:rsidRPr="008B3191">
              <w:rPr>
                <w:rFonts w:ascii="Arial" w:eastAsia="Times New Roman" w:hAnsi="Arial"/>
                <w:b/>
                <w:lang w:val="it-IT" w:eastAsia="it-IT"/>
              </w:rPr>
              <w:t>Durata</w:t>
            </w:r>
          </w:p>
          <w:p w14:paraId="37751FB1" w14:textId="77777777" w:rsidR="00A0737E" w:rsidRPr="008B3191" w:rsidRDefault="00A0737E" w:rsidP="008B3191">
            <w:pPr>
              <w:autoSpaceDE w:val="0"/>
              <w:autoSpaceDN w:val="0"/>
              <w:adjustRightInd w:val="0"/>
              <w:jc w:val="both"/>
              <w:rPr>
                <w:rFonts w:eastAsia="Times New Roman" w:cs="Calibri"/>
                <w:sz w:val="18"/>
                <w:szCs w:val="18"/>
                <w:lang w:val="it-IT" w:eastAsia="it-IT"/>
              </w:rPr>
            </w:pPr>
            <w:r w:rsidRPr="008B3191">
              <w:rPr>
                <w:rFonts w:ascii="Arial" w:eastAsia="Times New Roman" w:hAnsi="Arial"/>
                <w:lang w:val="it-IT" w:eastAsia="it-IT"/>
              </w:rPr>
              <w:t>Il contratto è di durata annuale con possibilità di rinnovo</w:t>
            </w:r>
            <w:r w:rsidRPr="008B3191">
              <w:rPr>
                <w:rFonts w:eastAsia="Times New Roman" w:cs="Calibri"/>
                <w:sz w:val="18"/>
                <w:szCs w:val="18"/>
                <w:lang w:val="it-IT" w:eastAsia="it-IT"/>
              </w:rPr>
              <w:t xml:space="preserve">. </w:t>
            </w:r>
          </w:p>
          <w:p w14:paraId="234DA397" w14:textId="77777777" w:rsidR="00A0737E" w:rsidRPr="008B3191" w:rsidRDefault="00A0737E" w:rsidP="008B3191">
            <w:pPr>
              <w:spacing w:line="276" w:lineRule="auto"/>
              <w:jc w:val="both"/>
              <w:rPr>
                <w:rFonts w:ascii="Arial" w:hAnsi="Arial"/>
                <w:lang w:val="it-IT"/>
              </w:rPr>
            </w:pPr>
          </w:p>
          <w:p w14:paraId="7489ACF9" w14:textId="77777777" w:rsidR="00A0737E" w:rsidRPr="008B3191" w:rsidRDefault="00A0737E" w:rsidP="00BB6E21">
            <w:pPr>
              <w:pStyle w:val="ListParagraph"/>
              <w:numPr>
                <w:ilvl w:val="0"/>
                <w:numId w:val="27"/>
              </w:numPr>
              <w:ind w:left="176" w:hanging="141"/>
              <w:rPr>
                <w:rFonts w:ascii="Arial" w:hAnsi="Arial"/>
                <w:b/>
                <w:lang w:val="it-IT"/>
              </w:rPr>
            </w:pPr>
            <w:r w:rsidRPr="008B3191">
              <w:rPr>
                <w:rFonts w:ascii="Arial" w:hAnsi="Arial"/>
                <w:b/>
                <w:lang w:val="it-IT"/>
              </w:rPr>
              <w:t>RECLAMI E MEZZI DI TUTELA STRAGIUDIZIALE</w:t>
            </w:r>
          </w:p>
          <w:p w14:paraId="60BDB37B" w14:textId="77777777" w:rsidR="00A0737E" w:rsidRPr="008B3191" w:rsidRDefault="00A0737E" w:rsidP="008B3191">
            <w:pPr>
              <w:spacing w:line="276" w:lineRule="auto"/>
              <w:jc w:val="both"/>
              <w:rPr>
                <w:rFonts w:ascii="Arial" w:hAnsi="Arial"/>
                <w:lang w:val="it-IT"/>
              </w:rPr>
            </w:pPr>
          </w:p>
          <w:p w14:paraId="689B6C98" w14:textId="77777777" w:rsidR="00A0737E" w:rsidRPr="008B3191" w:rsidRDefault="00A0737E" w:rsidP="008B3191">
            <w:pPr>
              <w:jc w:val="both"/>
              <w:rPr>
                <w:rFonts w:ascii="Arial" w:hAnsi="Arial"/>
                <w:color w:val="000000"/>
                <w:lang w:val="it-IT"/>
              </w:rPr>
            </w:pPr>
            <w:r w:rsidRPr="008B3191">
              <w:rPr>
                <w:rFonts w:ascii="Arial" w:hAnsi="Arial"/>
                <w:color w:val="000000"/>
                <w:lang w:val="it-IT"/>
              </w:rPr>
              <w:t xml:space="preserve">I reclami inerente il servizio offerto da Taxchange attraverso la piattaforma, vanno inviati in forma scritta tramite Raccomandata A.R. indirizzata nella sede di Corso Venezia,8 – 20121 - Milano (MI), o tramite PEC all’indirizzo  </w:t>
            </w:r>
            <w:hyperlink r:id="rId13" w:history="1">
              <w:r w:rsidRPr="008B3191">
                <w:rPr>
                  <w:rFonts w:ascii="Arial" w:hAnsi="Arial"/>
                  <w:color w:val="000000"/>
                  <w:lang w:val="it-IT"/>
                </w:rPr>
                <w:t>taxchange@legalmail.it</w:t>
              </w:r>
            </w:hyperlink>
            <w:r w:rsidRPr="008B3191">
              <w:rPr>
                <w:rFonts w:ascii="Arial" w:hAnsi="Arial"/>
                <w:color w:val="000000"/>
                <w:lang w:val="it-IT"/>
              </w:rPr>
              <w:t>.</w:t>
            </w:r>
          </w:p>
          <w:p w14:paraId="2DA1E72D" w14:textId="77777777" w:rsidR="00A0737E" w:rsidRPr="008B3191" w:rsidRDefault="00A0737E" w:rsidP="008B3191">
            <w:pPr>
              <w:jc w:val="both"/>
              <w:rPr>
                <w:rFonts w:ascii="Arial" w:hAnsi="Arial"/>
                <w:color w:val="000000"/>
                <w:lang w:val="it-IT"/>
              </w:rPr>
            </w:pPr>
            <w:r w:rsidRPr="008B3191">
              <w:rPr>
                <w:rFonts w:ascii="Arial" w:hAnsi="Arial"/>
                <w:color w:val="000000"/>
                <w:lang w:val="it-IT"/>
              </w:rPr>
              <w:t>Il Mediatore Creditizio si impegna a rispondere entro 30 giorni dal ricevimento della comunicazione. Se il Cliente non è soddisfatto o non ha ottenuto risposta entro i 30 giorni, prima di ricorrere al giudice, potrà rivolgersi a: Arbitro Bancario Finanziario (ABF).</w:t>
            </w:r>
          </w:p>
          <w:p w14:paraId="372E68AA" w14:textId="77777777" w:rsidR="00A0737E" w:rsidRPr="008B3191" w:rsidRDefault="00A0737E" w:rsidP="008B3191">
            <w:pPr>
              <w:jc w:val="both"/>
              <w:rPr>
                <w:rFonts w:ascii="Arial" w:hAnsi="Arial"/>
                <w:color w:val="000000"/>
                <w:lang w:val="it-IT"/>
              </w:rPr>
            </w:pPr>
            <w:r w:rsidRPr="008B3191">
              <w:rPr>
                <w:rFonts w:ascii="Arial" w:hAnsi="Arial"/>
                <w:color w:val="000000"/>
                <w:lang w:val="it-IT"/>
              </w:rPr>
              <w:t xml:space="preserve">Per sapere come contattare l’ABF si può consultare il sito www.arbitrobancariofinanziario.it, o chiedere presso le Filiali della Banca d'Italia, oppure consultare la Guida concernente l’accesso all’Arbitro Bancario Finanziario disponibile sul sito </w:t>
            </w:r>
            <w:hyperlink r:id="rId14" w:history="1">
              <w:r w:rsidRPr="008B3191">
                <w:rPr>
                  <w:rStyle w:val="Hyperlink"/>
                  <w:rFonts w:ascii="Arial" w:hAnsi="Arial"/>
                  <w:lang w:val="it-IT"/>
                </w:rPr>
                <w:t>www.txcmarkets.com</w:t>
              </w:r>
            </w:hyperlink>
            <w:r w:rsidRPr="008B3191">
              <w:rPr>
                <w:rFonts w:ascii="Arial" w:hAnsi="Arial"/>
                <w:color w:val="000000"/>
                <w:lang w:val="it-IT"/>
              </w:rPr>
              <w:t>. Per eventuali controversie in relazione al contratto di “Membership Agreement” è esclusivamente competente il Foro di Milano.</w:t>
            </w:r>
          </w:p>
          <w:p w14:paraId="0A7207E5" w14:textId="77777777" w:rsidR="00A0737E" w:rsidRPr="008B3191" w:rsidRDefault="00A0737E" w:rsidP="008B3191">
            <w:pPr>
              <w:spacing w:line="276" w:lineRule="auto"/>
              <w:jc w:val="both"/>
              <w:rPr>
                <w:rFonts w:ascii="Arial" w:hAnsi="Arial"/>
                <w:lang w:val="it-IT"/>
              </w:rPr>
            </w:pPr>
          </w:p>
          <w:p w14:paraId="53A59044" w14:textId="77777777" w:rsidR="00A0737E" w:rsidRPr="008B3191" w:rsidRDefault="00A0737E" w:rsidP="00BB6E21">
            <w:pPr>
              <w:pStyle w:val="ListParagraph"/>
              <w:numPr>
                <w:ilvl w:val="0"/>
                <w:numId w:val="27"/>
              </w:numPr>
              <w:ind w:left="459"/>
              <w:rPr>
                <w:rFonts w:ascii="Arial" w:hAnsi="Arial"/>
                <w:b/>
                <w:lang w:val="it-IT"/>
              </w:rPr>
            </w:pPr>
            <w:r w:rsidRPr="008B3191">
              <w:rPr>
                <w:rFonts w:ascii="Arial" w:hAnsi="Arial"/>
                <w:b/>
                <w:lang w:val="it-IT"/>
              </w:rPr>
              <w:t xml:space="preserve">LEGENDA </w:t>
            </w:r>
          </w:p>
          <w:p w14:paraId="119C63C3" w14:textId="77777777" w:rsidR="00A0737E" w:rsidRPr="008B3191" w:rsidRDefault="00A0737E" w:rsidP="008B3191">
            <w:pPr>
              <w:spacing w:line="276" w:lineRule="auto"/>
              <w:jc w:val="both"/>
              <w:rPr>
                <w:rFonts w:ascii="Arial" w:hAnsi="Arial"/>
                <w:lang w:val="it-IT"/>
              </w:rPr>
            </w:pPr>
          </w:p>
          <w:p w14:paraId="37ABE843" w14:textId="77777777" w:rsidR="00A0737E" w:rsidRPr="008B3191" w:rsidRDefault="00A0737E" w:rsidP="008B3191">
            <w:pPr>
              <w:pStyle w:val="ListParagraph"/>
              <w:numPr>
                <w:ilvl w:val="0"/>
                <w:numId w:val="29"/>
              </w:numPr>
              <w:spacing w:after="160" w:line="259" w:lineRule="auto"/>
              <w:ind w:left="284" w:hanging="284"/>
              <w:jc w:val="both"/>
              <w:rPr>
                <w:rFonts w:ascii="Arial" w:hAnsi="Arial"/>
                <w:lang w:val="it-IT"/>
              </w:rPr>
            </w:pPr>
            <w:r w:rsidRPr="008B3191">
              <w:rPr>
                <w:rFonts w:ascii="Arial" w:eastAsia="Times New Roman" w:hAnsi="Arial"/>
                <w:b/>
                <w:lang w:val="it-IT" w:eastAsia="it-IT"/>
              </w:rPr>
              <w:t>PARTECIPANTE</w:t>
            </w:r>
            <w:r w:rsidRPr="008B3191">
              <w:rPr>
                <w:rFonts w:ascii="Arial" w:hAnsi="Arial"/>
                <w:b/>
                <w:bCs/>
                <w:lang w:val="it-IT"/>
              </w:rPr>
              <w:t>:</w:t>
            </w:r>
            <w:r w:rsidRPr="008B3191">
              <w:rPr>
                <w:rFonts w:ascii="Arial" w:hAnsi="Arial"/>
                <w:lang w:val="it-IT"/>
              </w:rPr>
              <w:t xml:space="preserve"> </w:t>
            </w:r>
            <w:r w:rsidRPr="008B3191">
              <w:rPr>
                <w:rFonts w:ascii="Arial" w:hAnsi="Arial"/>
                <w:color w:val="000000"/>
                <w:lang w:val="it-IT"/>
              </w:rPr>
              <w:t>indica</w:t>
            </w:r>
            <w:r w:rsidRPr="008B3191">
              <w:rPr>
                <w:rFonts w:ascii="Arial" w:hAnsi="Arial"/>
                <w:lang w:val="it-IT"/>
              </w:rPr>
              <w:t xml:space="preserve"> ciascuna persona giuridica abilitata all’accesso e all’utilizzo della Piattaforma ai sensi del Regolamento, quale Seller o Buyer o per entrambe le qualifiche.</w:t>
            </w:r>
          </w:p>
          <w:p w14:paraId="58FA2390" w14:textId="77777777" w:rsidR="00A0737E" w:rsidRPr="008B3191" w:rsidRDefault="00A0737E" w:rsidP="008B3191">
            <w:pPr>
              <w:pStyle w:val="ListParagraph"/>
              <w:numPr>
                <w:ilvl w:val="0"/>
                <w:numId w:val="29"/>
              </w:numPr>
              <w:spacing w:after="160" w:line="259" w:lineRule="auto"/>
              <w:ind w:left="284" w:hanging="284"/>
              <w:jc w:val="both"/>
              <w:rPr>
                <w:rFonts w:ascii="Arial" w:hAnsi="Arial"/>
                <w:color w:val="000000"/>
                <w:lang w:val="it-IT"/>
              </w:rPr>
            </w:pPr>
            <w:r w:rsidRPr="008B3191">
              <w:rPr>
                <w:rFonts w:ascii="Arial" w:eastAsia="Times New Roman" w:hAnsi="Arial"/>
                <w:b/>
                <w:lang w:val="it-IT" w:eastAsia="it-IT"/>
              </w:rPr>
              <w:t>SELLER</w:t>
            </w:r>
            <w:r w:rsidRPr="008B3191">
              <w:rPr>
                <w:rFonts w:ascii="Arial" w:hAnsi="Arial"/>
                <w:color w:val="000000"/>
                <w:lang w:val="it-IT"/>
              </w:rPr>
              <w:t>: clienti costituiti da imprese o da altre persone giuridiche interessate alla cessione a titolo oneroso di crediti di natura fiscale.</w:t>
            </w:r>
          </w:p>
          <w:p w14:paraId="0F332142" w14:textId="77777777" w:rsidR="00A0737E" w:rsidRPr="008B3191" w:rsidRDefault="00A0737E" w:rsidP="008B3191">
            <w:pPr>
              <w:pStyle w:val="ListParagraph"/>
              <w:numPr>
                <w:ilvl w:val="0"/>
                <w:numId w:val="29"/>
              </w:numPr>
              <w:spacing w:after="160" w:line="259" w:lineRule="auto"/>
              <w:ind w:left="284" w:hanging="284"/>
              <w:jc w:val="both"/>
              <w:rPr>
                <w:rFonts w:ascii="Arial" w:hAnsi="Arial"/>
                <w:color w:val="000000"/>
                <w:lang w:val="it-IT"/>
              </w:rPr>
            </w:pPr>
            <w:r w:rsidRPr="008B3191">
              <w:rPr>
                <w:rFonts w:ascii="Arial" w:eastAsia="Times New Roman" w:hAnsi="Arial"/>
                <w:b/>
                <w:lang w:val="it-IT" w:eastAsia="it-IT"/>
              </w:rPr>
              <w:t>BUYER</w:t>
            </w:r>
            <w:r w:rsidRPr="008B3191">
              <w:rPr>
                <w:rFonts w:ascii="Arial" w:hAnsi="Arial"/>
                <w:color w:val="000000"/>
                <w:lang w:val="it-IT"/>
              </w:rPr>
              <w:t>: banche, altri intermediari finanziari e società finanziarie registrati nella piattaforma come acquirenti di crediti fiscali.</w:t>
            </w:r>
          </w:p>
          <w:p w14:paraId="378FA191" w14:textId="77777777" w:rsidR="00A0737E" w:rsidRPr="008B3191" w:rsidRDefault="00A0737E" w:rsidP="008B3191">
            <w:pPr>
              <w:pStyle w:val="ListParagraph"/>
              <w:numPr>
                <w:ilvl w:val="0"/>
                <w:numId w:val="29"/>
              </w:numPr>
              <w:spacing w:after="160" w:line="259" w:lineRule="auto"/>
              <w:ind w:left="284" w:hanging="284"/>
              <w:jc w:val="both"/>
              <w:rPr>
                <w:rFonts w:ascii="Arial" w:hAnsi="Arial"/>
                <w:color w:val="000000"/>
                <w:lang w:val="it-IT"/>
              </w:rPr>
            </w:pPr>
            <w:r w:rsidRPr="008B3191">
              <w:rPr>
                <w:rFonts w:ascii="Arial" w:eastAsia="Times New Roman" w:hAnsi="Arial"/>
                <w:b/>
                <w:lang w:val="it-IT" w:eastAsia="it-IT"/>
              </w:rPr>
              <w:t>PIATTAFORMA</w:t>
            </w:r>
            <w:r w:rsidRPr="008B3191">
              <w:rPr>
                <w:rFonts w:ascii="Arial" w:hAnsi="Arial"/>
                <w:color w:val="000000"/>
                <w:lang w:val="it-IT"/>
              </w:rPr>
              <w:t>: marketplace digitale finalizzato a mettere in relazione il  Seller con i Buyer ai fini della vendita in asta di crediti fiscali.</w:t>
            </w:r>
          </w:p>
          <w:p w14:paraId="1C36012F" w14:textId="77777777" w:rsidR="00A0737E" w:rsidRPr="008B3191" w:rsidRDefault="00A0737E" w:rsidP="008B3191">
            <w:pPr>
              <w:pStyle w:val="ListParagraph"/>
              <w:numPr>
                <w:ilvl w:val="0"/>
                <w:numId w:val="29"/>
              </w:numPr>
              <w:spacing w:after="160" w:line="259" w:lineRule="auto"/>
              <w:ind w:left="284" w:hanging="284"/>
              <w:jc w:val="both"/>
              <w:rPr>
                <w:rFonts w:ascii="Arial" w:hAnsi="Arial"/>
                <w:color w:val="000000"/>
                <w:lang w:val="it-IT"/>
              </w:rPr>
            </w:pPr>
            <w:r w:rsidRPr="008B3191">
              <w:rPr>
                <w:rFonts w:ascii="Arial" w:eastAsia="Times New Roman" w:hAnsi="Arial"/>
                <w:b/>
                <w:lang w:val="it-IT" w:eastAsia="it-IT"/>
              </w:rPr>
              <w:t>ASTA</w:t>
            </w:r>
            <w:r w:rsidRPr="008B3191">
              <w:rPr>
                <w:rFonts w:ascii="Arial" w:hAnsi="Arial"/>
                <w:color w:val="000000"/>
                <w:lang w:val="it-IT"/>
              </w:rPr>
              <w:t>: indica la modalità con la quale, all’interno della piattaforma, avviene il matching tra l’offerta di vendita del credito dal parte del Seller ed eventuali offerte di acquisto da parte del Buyer.</w:t>
            </w:r>
          </w:p>
          <w:p w14:paraId="5ED822D1" w14:textId="77777777" w:rsidR="00A0737E" w:rsidRPr="008B3191" w:rsidRDefault="00A0737E" w:rsidP="008B3191">
            <w:pPr>
              <w:pStyle w:val="ListParagraph"/>
              <w:numPr>
                <w:ilvl w:val="0"/>
                <w:numId w:val="29"/>
              </w:numPr>
              <w:spacing w:after="160" w:line="259" w:lineRule="auto"/>
              <w:ind w:left="284" w:hanging="284"/>
              <w:jc w:val="both"/>
              <w:rPr>
                <w:rFonts w:ascii="Arial" w:hAnsi="Arial"/>
                <w:color w:val="000000"/>
                <w:lang w:val="it-IT"/>
              </w:rPr>
            </w:pPr>
            <w:r w:rsidRPr="008B3191">
              <w:rPr>
                <w:rFonts w:ascii="Arial" w:eastAsia="Times New Roman" w:hAnsi="Arial"/>
                <w:b/>
                <w:lang w:val="it-IT" w:eastAsia="it-IT"/>
              </w:rPr>
              <w:t>CORRISPETTIVO E COMMISSIONI</w:t>
            </w:r>
            <w:r w:rsidRPr="008B3191">
              <w:rPr>
                <w:rFonts w:ascii="Arial" w:eastAsia="Times New Roman" w:hAnsi="Arial"/>
                <w:lang w:val="it-IT" w:eastAsia="it-IT"/>
              </w:rPr>
              <w:t xml:space="preserve">: compenso è dovuto al Mediatore Creditizio per la partecipazione alla piattaforma e commissioni commisurate al valore del credito commisurato. </w:t>
            </w:r>
          </w:p>
          <w:p w14:paraId="24BC955A" w14:textId="77777777" w:rsidR="00A0737E" w:rsidRPr="008B3191" w:rsidRDefault="00A0737E" w:rsidP="008B3191">
            <w:pPr>
              <w:pStyle w:val="ListParagraph"/>
              <w:numPr>
                <w:ilvl w:val="0"/>
                <w:numId w:val="29"/>
              </w:numPr>
              <w:spacing w:after="160" w:line="259" w:lineRule="auto"/>
              <w:ind w:left="284" w:hanging="284"/>
              <w:jc w:val="both"/>
              <w:rPr>
                <w:rFonts w:ascii="Arial" w:hAnsi="Arial"/>
                <w:color w:val="000000"/>
                <w:lang w:val="it-IT"/>
              </w:rPr>
            </w:pPr>
            <w:r w:rsidRPr="008B3191">
              <w:rPr>
                <w:rFonts w:ascii="Arial" w:eastAsia="Times New Roman" w:hAnsi="Arial"/>
                <w:b/>
                <w:lang w:val="it-IT" w:eastAsia="it-IT"/>
              </w:rPr>
              <w:t>TECNICHE DI COMUNICAZIONE A DISTANZA</w:t>
            </w:r>
            <w:r w:rsidRPr="008B3191">
              <w:rPr>
                <w:rFonts w:ascii="Arial" w:eastAsia="Times New Roman" w:hAnsi="Arial"/>
                <w:lang w:val="it-IT" w:eastAsia="it-IT"/>
              </w:rPr>
              <w:t>: tecniche di contatto della clientela, diversi dagli annunci pubblicitari, che non comportano la presenza fisica e simultanea del cliente e del Mediatore Creditizio</w:t>
            </w:r>
          </w:p>
          <w:p w14:paraId="71BA66F9" w14:textId="77777777" w:rsidR="00A0737E" w:rsidRPr="008B3191" w:rsidRDefault="00A0737E" w:rsidP="008B3191">
            <w:pPr>
              <w:pStyle w:val="ListParagraph"/>
              <w:numPr>
                <w:ilvl w:val="0"/>
                <w:numId w:val="30"/>
              </w:numPr>
              <w:spacing w:after="160" w:line="259" w:lineRule="auto"/>
              <w:ind w:left="284" w:hanging="284"/>
              <w:jc w:val="both"/>
              <w:rPr>
                <w:rFonts w:ascii="Arial" w:eastAsia="Times New Roman" w:hAnsi="Arial"/>
                <w:lang w:val="it-IT" w:eastAsia="it-IT"/>
              </w:rPr>
            </w:pPr>
            <w:r w:rsidRPr="008B3191">
              <w:rPr>
                <w:rFonts w:ascii="Arial" w:eastAsia="Times New Roman" w:hAnsi="Arial"/>
                <w:b/>
                <w:lang w:val="it-IT" w:eastAsia="it-IT"/>
              </w:rPr>
              <w:t>T.E.G.</w:t>
            </w:r>
            <w:r w:rsidRPr="008B3191">
              <w:rPr>
                <w:rFonts w:ascii="Arial" w:eastAsia="Times New Roman" w:hAnsi="Arial"/>
                <w:lang w:val="it-IT" w:eastAsia="it-IT"/>
              </w:rPr>
              <w:t>: (tasso effettivo globale) rappresenta il costo totale del credito espresso in percentuale, su base annua, dell’importo totale del credito.</w:t>
            </w:r>
          </w:p>
          <w:p w14:paraId="170D5106" w14:textId="77777777" w:rsidR="00A0737E" w:rsidRPr="008B3191" w:rsidRDefault="00A0737E" w:rsidP="008B3191">
            <w:pPr>
              <w:pStyle w:val="ListParagraph"/>
              <w:numPr>
                <w:ilvl w:val="0"/>
                <w:numId w:val="30"/>
              </w:numPr>
              <w:spacing w:after="160" w:line="259" w:lineRule="auto"/>
              <w:ind w:left="284" w:hanging="284"/>
              <w:jc w:val="both"/>
              <w:rPr>
                <w:rFonts w:ascii="Arial" w:eastAsia="Times New Roman" w:hAnsi="Arial"/>
                <w:b/>
                <w:lang w:val="it-IT" w:eastAsia="it-IT"/>
              </w:rPr>
            </w:pPr>
            <w:r w:rsidRPr="008B3191">
              <w:rPr>
                <w:rFonts w:ascii="Arial" w:eastAsia="Times New Roman" w:hAnsi="Arial"/>
                <w:b/>
                <w:lang w:val="it-IT" w:eastAsia="it-IT"/>
              </w:rPr>
              <w:t>T.E.G.M. (Tasso effettivo globale medio)</w:t>
            </w:r>
            <w:r w:rsidRPr="008B3191">
              <w:rPr>
                <w:rFonts w:ascii="Arial" w:eastAsia="Times New Roman" w:hAnsi="Arial"/>
                <w:lang w:val="it-IT" w:eastAsia="it-IT"/>
              </w:rPr>
              <w:t>: tasso di interesse pubblicato ogni tre mesi dal Ministero dell’Economia e delle Finanze come previsto dalla legge sull’usura.</w:t>
            </w:r>
          </w:p>
          <w:p w14:paraId="74EA22AD" w14:textId="77777777" w:rsidR="00A0737E" w:rsidRPr="008B3191" w:rsidRDefault="00A0737E" w:rsidP="008B3191">
            <w:pPr>
              <w:pStyle w:val="ListParagraph"/>
              <w:numPr>
                <w:ilvl w:val="0"/>
                <w:numId w:val="30"/>
              </w:numPr>
              <w:spacing w:after="160" w:line="259" w:lineRule="auto"/>
              <w:ind w:left="284" w:hanging="284"/>
              <w:jc w:val="both"/>
              <w:rPr>
                <w:rFonts w:eastAsia="Times New Roman" w:cs="Calibri"/>
                <w:sz w:val="18"/>
                <w:szCs w:val="18"/>
                <w:lang w:val="it-IT" w:eastAsia="it-IT"/>
              </w:rPr>
            </w:pPr>
            <w:r w:rsidRPr="008B3191">
              <w:rPr>
                <w:rFonts w:ascii="Arial" w:eastAsia="Times New Roman" w:hAnsi="Arial"/>
                <w:b/>
                <w:lang w:val="it-IT" w:eastAsia="it-IT"/>
              </w:rPr>
              <w:t>SUPPORTO DUREVOLE</w:t>
            </w:r>
            <w:r w:rsidRPr="008B3191">
              <w:rPr>
                <w:rFonts w:ascii="Arial" w:eastAsia="Times New Roman" w:hAnsi="Arial"/>
                <w:lang w:val="it-IT" w:eastAsia="it-IT"/>
              </w:rPr>
              <w:t>: qualsiasi strumento che consenta di memorizzare informazioni che possano essere agevolmente recuperate e che consenta la riproduzione immutata delle informazioni medesime</w:t>
            </w:r>
            <w:r w:rsidRPr="008B3191">
              <w:rPr>
                <w:rFonts w:eastAsia="Times New Roman" w:cs="Calibri"/>
                <w:sz w:val="18"/>
                <w:szCs w:val="18"/>
                <w:lang w:val="it-IT" w:eastAsia="it-IT"/>
              </w:rPr>
              <w:t xml:space="preserve">. </w:t>
            </w:r>
          </w:p>
          <w:p w14:paraId="55413C56" w14:textId="77777777" w:rsidR="00A0737E" w:rsidRPr="008B3191" w:rsidRDefault="00A0737E" w:rsidP="008B3191">
            <w:pPr>
              <w:spacing w:line="276" w:lineRule="auto"/>
              <w:jc w:val="both"/>
              <w:rPr>
                <w:rFonts w:ascii="Arial" w:hAnsi="Arial"/>
                <w:lang w:val="it-IT"/>
              </w:rPr>
            </w:pPr>
          </w:p>
        </w:tc>
      </w:tr>
    </w:tbl>
    <w:p w14:paraId="1367B80F" w14:textId="77777777" w:rsidR="00532EBF" w:rsidRPr="00BC35A6" w:rsidRDefault="00532EBF" w:rsidP="005A5DE7">
      <w:pPr>
        <w:spacing w:line="239" w:lineRule="auto"/>
        <w:rPr>
          <w:rFonts w:ascii="Arial" w:hAnsi="Arial"/>
        </w:rPr>
      </w:pPr>
    </w:p>
    <w:sectPr w:rsidR="00532EBF" w:rsidRPr="00BC35A6" w:rsidSect="00284F5E">
      <w:headerReference w:type="default" r:id="rId15"/>
      <w:footerReference w:type="default" r:id="rId16"/>
      <w:pgSz w:w="11906" w:h="16838"/>
      <w:pgMar w:top="2127" w:right="1080" w:bottom="1440" w:left="1080" w:header="709" w:footer="709" w:gutter="0"/>
      <w:cols w:sep="1" w:space="52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7689D" w14:textId="77777777" w:rsidR="007A2ECD" w:rsidRDefault="007A2ECD" w:rsidP="00504D4F">
      <w:r>
        <w:separator/>
      </w:r>
    </w:p>
  </w:endnote>
  <w:endnote w:type="continuationSeparator" w:id="0">
    <w:p w14:paraId="38C389C2" w14:textId="77777777" w:rsidR="007A2ECD" w:rsidRDefault="007A2ECD" w:rsidP="005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CAD0" w14:textId="77777777" w:rsidR="00BF2B4E" w:rsidRDefault="00BF2B4E">
    <w:pPr>
      <w:pStyle w:val="Footer"/>
      <w:jc w:val="center"/>
    </w:pPr>
    <w:r>
      <w:fldChar w:fldCharType="begin"/>
    </w:r>
    <w:r>
      <w:instrText>PAGE   \* MERGEFORMAT</w:instrText>
    </w:r>
    <w:r>
      <w:fldChar w:fldCharType="separate"/>
    </w:r>
    <w:r w:rsidRPr="00827D2A">
      <w:rPr>
        <w:noProof/>
        <w:lang w:val="it-IT"/>
      </w:rPr>
      <w:t>26</w:t>
    </w:r>
    <w:r>
      <w:fldChar w:fldCharType="end"/>
    </w:r>
  </w:p>
  <w:p w14:paraId="436A4802" w14:textId="77777777" w:rsidR="00BF2B4E" w:rsidRDefault="00BF2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95E8A" w14:textId="77777777" w:rsidR="007A2ECD" w:rsidRDefault="007A2ECD" w:rsidP="00504D4F">
      <w:r>
        <w:separator/>
      </w:r>
    </w:p>
  </w:footnote>
  <w:footnote w:type="continuationSeparator" w:id="0">
    <w:p w14:paraId="4A095014" w14:textId="77777777" w:rsidR="007A2ECD" w:rsidRDefault="007A2ECD" w:rsidP="0050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E59F3" w14:textId="77777777" w:rsidR="00BF2B4E" w:rsidRDefault="00BF2B4E" w:rsidP="00EB1AFB">
    <w:pPr>
      <w:pStyle w:val="Header"/>
      <w:rPr>
        <w:rFonts w:ascii="Arial" w:hAnsi="Arial"/>
        <w:sz w:val="16"/>
        <w:szCs w:val="16"/>
        <w:lang w:val="it-IT"/>
      </w:rPr>
    </w:pPr>
  </w:p>
  <w:p w14:paraId="0C1DA482" w14:textId="543844D9" w:rsidR="00BF2B4E" w:rsidRPr="004A3DCF" w:rsidRDefault="003666A6" w:rsidP="00841FDB">
    <w:pPr>
      <w:pStyle w:val="Header"/>
      <w:rPr>
        <w:rFonts w:ascii="Arial" w:hAnsi="Arial"/>
        <w:sz w:val="10"/>
        <w:szCs w:val="10"/>
        <w:lang w:val="it-IT"/>
      </w:rPr>
    </w:pPr>
    <w:r w:rsidRPr="003666A6">
      <w:rPr>
        <w:rFonts w:ascii="Arial" w:hAnsi="Arial"/>
        <w:noProof/>
        <w:sz w:val="10"/>
        <w:szCs w:val="10"/>
        <w:lang w:val="it-IT"/>
      </w:rPr>
      <w:drawing>
        <wp:inline distT="0" distB="0" distL="0" distR="0" wp14:anchorId="767D0CE9" wp14:editId="04E5DFB8">
          <wp:extent cx="1578429" cy="448458"/>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088" cy="4719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975"/>
    <w:multiLevelType w:val="hybridMultilevel"/>
    <w:tmpl w:val="4EBE253E"/>
    <w:lvl w:ilvl="0" w:tplc="0410000B">
      <w:start w:val="1"/>
      <w:numFmt w:val="bullet"/>
      <w:lvlText w:val=""/>
      <w:lvlJc w:val="left"/>
      <w:pPr>
        <w:ind w:left="1968" w:hanging="360"/>
      </w:pPr>
      <w:rPr>
        <w:rFonts w:ascii="Wingdings" w:hAnsi="Wingdings" w:hint="default"/>
      </w:rPr>
    </w:lvl>
    <w:lvl w:ilvl="1" w:tplc="04100003" w:tentative="1">
      <w:start w:val="1"/>
      <w:numFmt w:val="bullet"/>
      <w:lvlText w:val="o"/>
      <w:lvlJc w:val="left"/>
      <w:pPr>
        <w:ind w:left="2688" w:hanging="360"/>
      </w:pPr>
      <w:rPr>
        <w:rFonts w:ascii="Courier New" w:hAnsi="Courier New" w:cs="Courier New" w:hint="default"/>
      </w:rPr>
    </w:lvl>
    <w:lvl w:ilvl="2" w:tplc="04100005" w:tentative="1">
      <w:start w:val="1"/>
      <w:numFmt w:val="bullet"/>
      <w:lvlText w:val=""/>
      <w:lvlJc w:val="left"/>
      <w:pPr>
        <w:ind w:left="3408" w:hanging="360"/>
      </w:pPr>
      <w:rPr>
        <w:rFonts w:ascii="Wingdings" w:hAnsi="Wingdings" w:hint="default"/>
      </w:rPr>
    </w:lvl>
    <w:lvl w:ilvl="3" w:tplc="04100001" w:tentative="1">
      <w:start w:val="1"/>
      <w:numFmt w:val="bullet"/>
      <w:lvlText w:val=""/>
      <w:lvlJc w:val="left"/>
      <w:pPr>
        <w:ind w:left="4128" w:hanging="360"/>
      </w:pPr>
      <w:rPr>
        <w:rFonts w:ascii="Symbol" w:hAnsi="Symbol" w:hint="default"/>
      </w:rPr>
    </w:lvl>
    <w:lvl w:ilvl="4" w:tplc="04100003" w:tentative="1">
      <w:start w:val="1"/>
      <w:numFmt w:val="bullet"/>
      <w:lvlText w:val="o"/>
      <w:lvlJc w:val="left"/>
      <w:pPr>
        <w:ind w:left="4848" w:hanging="360"/>
      </w:pPr>
      <w:rPr>
        <w:rFonts w:ascii="Courier New" w:hAnsi="Courier New" w:cs="Courier New" w:hint="default"/>
      </w:rPr>
    </w:lvl>
    <w:lvl w:ilvl="5" w:tplc="04100005" w:tentative="1">
      <w:start w:val="1"/>
      <w:numFmt w:val="bullet"/>
      <w:lvlText w:val=""/>
      <w:lvlJc w:val="left"/>
      <w:pPr>
        <w:ind w:left="5568" w:hanging="360"/>
      </w:pPr>
      <w:rPr>
        <w:rFonts w:ascii="Wingdings" w:hAnsi="Wingdings" w:hint="default"/>
      </w:rPr>
    </w:lvl>
    <w:lvl w:ilvl="6" w:tplc="04100001" w:tentative="1">
      <w:start w:val="1"/>
      <w:numFmt w:val="bullet"/>
      <w:lvlText w:val=""/>
      <w:lvlJc w:val="left"/>
      <w:pPr>
        <w:ind w:left="6288" w:hanging="360"/>
      </w:pPr>
      <w:rPr>
        <w:rFonts w:ascii="Symbol" w:hAnsi="Symbol" w:hint="default"/>
      </w:rPr>
    </w:lvl>
    <w:lvl w:ilvl="7" w:tplc="04100003" w:tentative="1">
      <w:start w:val="1"/>
      <w:numFmt w:val="bullet"/>
      <w:lvlText w:val="o"/>
      <w:lvlJc w:val="left"/>
      <w:pPr>
        <w:ind w:left="7008" w:hanging="360"/>
      </w:pPr>
      <w:rPr>
        <w:rFonts w:ascii="Courier New" w:hAnsi="Courier New" w:cs="Courier New" w:hint="default"/>
      </w:rPr>
    </w:lvl>
    <w:lvl w:ilvl="8" w:tplc="04100005" w:tentative="1">
      <w:start w:val="1"/>
      <w:numFmt w:val="bullet"/>
      <w:lvlText w:val=""/>
      <w:lvlJc w:val="left"/>
      <w:pPr>
        <w:ind w:left="7728" w:hanging="360"/>
      </w:pPr>
      <w:rPr>
        <w:rFonts w:ascii="Wingdings" w:hAnsi="Wingdings" w:hint="default"/>
      </w:rPr>
    </w:lvl>
  </w:abstractNum>
  <w:abstractNum w:abstractNumId="1" w15:restartNumberingAfterBreak="0">
    <w:nsid w:val="03091DCF"/>
    <w:multiLevelType w:val="hybridMultilevel"/>
    <w:tmpl w:val="48C05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55E60"/>
    <w:multiLevelType w:val="hybridMultilevel"/>
    <w:tmpl w:val="A4527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E208D6"/>
    <w:multiLevelType w:val="hybridMultilevel"/>
    <w:tmpl w:val="3A705B60"/>
    <w:lvl w:ilvl="0" w:tplc="15ACB834">
      <w:start w:val="2"/>
      <w:numFmt w:val="bullet"/>
      <w:lvlText w:val="-"/>
      <w:lvlJc w:val="left"/>
      <w:pPr>
        <w:ind w:left="1139" w:hanging="855"/>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0A539DD"/>
    <w:multiLevelType w:val="hybridMultilevel"/>
    <w:tmpl w:val="3FDAE492"/>
    <w:lvl w:ilvl="0" w:tplc="0F8EFA8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EA7868"/>
    <w:multiLevelType w:val="hybridMultilevel"/>
    <w:tmpl w:val="84088A80"/>
    <w:lvl w:ilvl="0" w:tplc="856293E0">
      <w:start w:val="1"/>
      <w:numFmt w:val="lowerRoman"/>
      <w:lvlText w:val="(%1)"/>
      <w:lvlJc w:val="left"/>
      <w:pPr>
        <w:ind w:left="1215" w:hanging="8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571C2A"/>
    <w:multiLevelType w:val="hybridMultilevel"/>
    <w:tmpl w:val="E67E2474"/>
    <w:lvl w:ilvl="0" w:tplc="62D024C4">
      <w:start w:val="1"/>
      <w:numFmt w:val="decimal"/>
      <w:lvlText w:val="%1."/>
      <w:lvlJc w:val="left"/>
      <w:pPr>
        <w:ind w:left="1215" w:hanging="8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7860A5"/>
    <w:multiLevelType w:val="hybridMultilevel"/>
    <w:tmpl w:val="A8D2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40AE1"/>
    <w:multiLevelType w:val="hybridMultilevel"/>
    <w:tmpl w:val="F0129AA6"/>
    <w:lvl w:ilvl="0" w:tplc="6E58884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9505DB"/>
    <w:multiLevelType w:val="hybridMultilevel"/>
    <w:tmpl w:val="C2AC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F4B85"/>
    <w:multiLevelType w:val="hybridMultilevel"/>
    <w:tmpl w:val="E24AF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D147C6"/>
    <w:multiLevelType w:val="hybridMultilevel"/>
    <w:tmpl w:val="9258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57DDB"/>
    <w:multiLevelType w:val="hybridMultilevel"/>
    <w:tmpl w:val="F36AD0AC"/>
    <w:lvl w:ilvl="0" w:tplc="95905E3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11125"/>
    <w:multiLevelType w:val="hybridMultilevel"/>
    <w:tmpl w:val="343EA0BE"/>
    <w:lvl w:ilvl="0" w:tplc="DAA232A4">
      <w:start w:val="2"/>
      <w:numFmt w:val="bullet"/>
      <w:lvlText w:val="•"/>
      <w:lvlJc w:val="left"/>
      <w:pPr>
        <w:ind w:left="1215" w:hanging="85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F74CA7"/>
    <w:multiLevelType w:val="hybridMultilevel"/>
    <w:tmpl w:val="13840B14"/>
    <w:lvl w:ilvl="0" w:tplc="DC60D00C">
      <w:start w:val="4"/>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5" w15:restartNumberingAfterBreak="0">
    <w:nsid w:val="33C6660C"/>
    <w:multiLevelType w:val="hybridMultilevel"/>
    <w:tmpl w:val="69A0A418"/>
    <w:lvl w:ilvl="0" w:tplc="C268A3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623F85"/>
    <w:multiLevelType w:val="hybridMultilevel"/>
    <w:tmpl w:val="25ACBCEE"/>
    <w:lvl w:ilvl="0" w:tplc="08090001">
      <w:start w:val="1"/>
      <w:numFmt w:val="bullet"/>
      <w:lvlText w:val=""/>
      <w:lvlJc w:val="left"/>
      <w:pPr>
        <w:ind w:left="985" w:hanging="360"/>
      </w:pPr>
      <w:rPr>
        <w:rFonts w:ascii="Symbol" w:hAnsi="Symbol" w:hint="default"/>
      </w:rPr>
    </w:lvl>
    <w:lvl w:ilvl="1" w:tplc="08090003" w:tentative="1">
      <w:start w:val="1"/>
      <w:numFmt w:val="bullet"/>
      <w:lvlText w:val="o"/>
      <w:lvlJc w:val="left"/>
      <w:pPr>
        <w:ind w:left="1705" w:hanging="360"/>
      </w:pPr>
      <w:rPr>
        <w:rFonts w:ascii="Courier New" w:hAnsi="Courier New" w:cs="Courier New" w:hint="default"/>
      </w:rPr>
    </w:lvl>
    <w:lvl w:ilvl="2" w:tplc="08090005" w:tentative="1">
      <w:start w:val="1"/>
      <w:numFmt w:val="bullet"/>
      <w:lvlText w:val=""/>
      <w:lvlJc w:val="left"/>
      <w:pPr>
        <w:ind w:left="2425" w:hanging="360"/>
      </w:pPr>
      <w:rPr>
        <w:rFonts w:ascii="Wingdings" w:hAnsi="Wingdings" w:hint="default"/>
      </w:rPr>
    </w:lvl>
    <w:lvl w:ilvl="3" w:tplc="08090001" w:tentative="1">
      <w:start w:val="1"/>
      <w:numFmt w:val="bullet"/>
      <w:lvlText w:val=""/>
      <w:lvlJc w:val="left"/>
      <w:pPr>
        <w:ind w:left="3145" w:hanging="360"/>
      </w:pPr>
      <w:rPr>
        <w:rFonts w:ascii="Symbol" w:hAnsi="Symbol" w:hint="default"/>
      </w:rPr>
    </w:lvl>
    <w:lvl w:ilvl="4" w:tplc="08090003" w:tentative="1">
      <w:start w:val="1"/>
      <w:numFmt w:val="bullet"/>
      <w:lvlText w:val="o"/>
      <w:lvlJc w:val="left"/>
      <w:pPr>
        <w:ind w:left="3865" w:hanging="360"/>
      </w:pPr>
      <w:rPr>
        <w:rFonts w:ascii="Courier New" w:hAnsi="Courier New" w:cs="Courier New" w:hint="default"/>
      </w:rPr>
    </w:lvl>
    <w:lvl w:ilvl="5" w:tplc="08090005" w:tentative="1">
      <w:start w:val="1"/>
      <w:numFmt w:val="bullet"/>
      <w:lvlText w:val=""/>
      <w:lvlJc w:val="left"/>
      <w:pPr>
        <w:ind w:left="4585" w:hanging="360"/>
      </w:pPr>
      <w:rPr>
        <w:rFonts w:ascii="Wingdings" w:hAnsi="Wingdings" w:hint="default"/>
      </w:rPr>
    </w:lvl>
    <w:lvl w:ilvl="6" w:tplc="08090001" w:tentative="1">
      <w:start w:val="1"/>
      <w:numFmt w:val="bullet"/>
      <w:lvlText w:val=""/>
      <w:lvlJc w:val="left"/>
      <w:pPr>
        <w:ind w:left="5305" w:hanging="360"/>
      </w:pPr>
      <w:rPr>
        <w:rFonts w:ascii="Symbol" w:hAnsi="Symbol" w:hint="default"/>
      </w:rPr>
    </w:lvl>
    <w:lvl w:ilvl="7" w:tplc="08090003" w:tentative="1">
      <w:start w:val="1"/>
      <w:numFmt w:val="bullet"/>
      <w:lvlText w:val="o"/>
      <w:lvlJc w:val="left"/>
      <w:pPr>
        <w:ind w:left="6025" w:hanging="360"/>
      </w:pPr>
      <w:rPr>
        <w:rFonts w:ascii="Courier New" w:hAnsi="Courier New" w:cs="Courier New" w:hint="default"/>
      </w:rPr>
    </w:lvl>
    <w:lvl w:ilvl="8" w:tplc="08090005" w:tentative="1">
      <w:start w:val="1"/>
      <w:numFmt w:val="bullet"/>
      <w:lvlText w:val=""/>
      <w:lvlJc w:val="left"/>
      <w:pPr>
        <w:ind w:left="6745" w:hanging="360"/>
      </w:pPr>
      <w:rPr>
        <w:rFonts w:ascii="Wingdings" w:hAnsi="Wingdings" w:hint="default"/>
      </w:rPr>
    </w:lvl>
  </w:abstractNum>
  <w:abstractNum w:abstractNumId="17" w15:restartNumberingAfterBreak="0">
    <w:nsid w:val="364A69E4"/>
    <w:multiLevelType w:val="hybridMultilevel"/>
    <w:tmpl w:val="48C05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422EDC"/>
    <w:multiLevelType w:val="hybridMultilevel"/>
    <w:tmpl w:val="D2908BE2"/>
    <w:lvl w:ilvl="0" w:tplc="AEA69B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654B94"/>
    <w:multiLevelType w:val="hybridMultilevel"/>
    <w:tmpl w:val="70B8BFA8"/>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0" w15:restartNumberingAfterBreak="0">
    <w:nsid w:val="3DF21DED"/>
    <w:multiLevelType w:val="hybridMultilevel"/>
    <w:tmpl w:val="A3A0A982"/>
    <w:lvl w:ilvl="0" w:tplc="EBB665B0">
      <w:start w:val="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805AA"/>
    <w:multiLevelType w:val="hybridMultilevel"/>
    <w:tmpl w:val="ED0436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6B2C76"/>
    <w:multiLevelType w:val="hybridMultilevel"/>
    <w:tmpl w:val="3CCE1552"/>
    <w:lvl w:ilvl="0" w:tplc="6E58884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44485F"/>
    <w:multiLevelType w:val="hybridMultilevel"/>
    <w:tmpl w:val="89CE2706"/>
    <w:lvl w:ilvl="0" w:tplc="A62205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7232F66"/>
    <w:multiLevelType w:val="hybridMultilevel"/>
    <w:tmpl w:val="CAE2E8D8"/>
    <w:lvl w:ilvl="0" w:tplc="CD84F39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074925"/>
    <w:multiLevelType w:val="hybridMultilevel"/>
    <w:tmpl w:val="D2908BE2"/>
    <w:lvl w:ilvl="0" w:tplc="AEA69B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235677"/>
    <w:multiLevelType w:val="hybridMultilevel"/>
    <w:tmpl w:val="D00E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D03BE"/>
    <w:multiLevelType w:val="hybridMultilevel"/>
    <w:tmpl w:val="8A5C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94802"/>
    <w:multiLevelType w:val="hybridMultilevel"/>
    <w:tmpl w:val="A4609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B11AB0"/>
    <w:multiLevelType w:val="hybridMultilevel"/>
    <w:tmpl w:val="91A27C40"/>
    <w:lvl w:ilvl="0" w:tplc="7C44A79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76F22"/>
    <w:multiLevelType w:val="hybridMultilevel"/>
    <w:tmpl w:val="48C05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974F80"/>
    <w:multiLevelType w:val="hybridMultilevel"/>
    <w:tmpl w:val="48C05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CC3278"/>
    <w:multiLevelType w:val="multilevel"/>
    <w:tmpl w:val="BE4A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9F471B"/>
    <w:multiLevelType w:val="multilevel"/>
    <w:tmpl w:val="2188A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981B92"/>
    <w:multiLevelType w:val="hybridMultilevel"/>
    <w:tmpl w:val="C03EB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351112">
    <w:abstractNumId w:val="32"/>
  </w:num>
  <w:num w:numId="2" w16cid:durableId="1497499111">
    <w:abstractNumId w:val="33"/>
  </w:num>
  <w:num w:numId="3" w16cid:durableId="151414906">
    <w:abstractNumId w:val="4"/>
  </w:num>
  <w:num w:numId="4" w16cid:durableId="401146563">
    <w:abstractNumId w:val="5"/>
  </w:num>
  <w:num w:numId="5" w16cid:durableId="1945965261">
    <w:abstractNumId w:val="6"/>
  </w:num>
  <w:num w:numId="6" w16cid:durableId="104544434">
    <w:abstractNumId w:val="13"/>
  </w:num>
  <w:num w:numId="7" w16cid:durableId="1653752493">
    <w:abstractNumId w:val="3"/>
  </w:num>
  <w:num w:numId="8" w16cid:durableId="483088778">
    <w:abstractNumId w:val="24"/>
  </w:num>
  <w:num w:numId="9" w16cid:durableId="1787389866">
    <w:abstractNumId w:val="22"/>
  </w:num>
  <w:num w:numId="10" w16cid:durableId="535507260">
    <w:abstractNumId w:val="8"/>
  </w:num>
  <w:num w:numId="11" w16cid:durableId="939067136">
    <w:abstractNumId w:val="25"/>
  </w:num>
  <w:num w:numId="12" w16cid:durableId="1114716360">
    <w:abstractNumId w:val="30"/>
  </w:num>
  <w:num w:numId="13" w16cid:durableId="224343008">
    <w:abstractNumId w:val="12"/>
  </w:num>
  <w:num w:numId="14" w16cid:durableId="926303008">
    <w:abstractNumId w:val="31"/>
  </w:num>
  <w:num w:numId="15" w16cid:durableId="104473096">
    <w:abstractNumId w:val="15"/>
  </w:num>
  <w:num w:numId="16" w16cid:durableId="203366889">
    <w:abstractNumId w:val="11"/>
  </w:num>
  <w:num w:numId="17" w16cid:durableId="1680352860">
    <w:abstractNumId w:val="9"/>
  </w:num>
  <w:num w:numId="18" w16cid:durableId="151794501">
    <w:abstractNumId w:val="7"/>
  </w:num>
  <w:num w:numId="19" w16cid:durableId="2019959026">
    <w:abstractNumId w:val="28"/>
  </w:num>
  <w:num w:numId="20" w16cid:durableId="102387015">
    <w:abstractNumId w:val="26"/>
  </w:num>
  <w:num w:numId="21" w16cid:durableId="2096507671">
    <w:abstractNumId w:val="18"/>
  </w:num>
  <w:num w:numId="22" w16cid:durableId="863637143">
    <w:abstractNumId w:val="27"/>
  </w:num>
  <w:num w:numId="23" w16cid:durableId="2105296336">
    <w:abstractNumId w:val="19"/>
  </w:num>
  <w:num w:numId="24" w16cid:durableId="1378236505">
    <w:abstractNumId w:val="2"/>
  </w:num>
  <w:num w:numId="25" w16cid:durableId="1908570262">
    <w:abstractNumId w:val="10"/>
  </w:num>
  <w:num w:numId="26" w16cid:durableId="1683163466">
    <w:abstractNumId w:val="16"/>
  </w:num>
  <w:num w:numId="27" w16cid:durableId="1301500948">
    <w:abstractNumId w:val="23"/>
  </w:num>
  <w:num w:numId="28" w16cid:durableId="1317880425">
    <w:abstractNumId w:val="1"/>
  </w:num>
  <w:num w:numId="29" w16cid:durableId="640773782">
    <w:abstractNumId w:val="21"/>
  </w:num>
  <w:num w:numId="30" w16cid:durableId="890924458">
    <w:abstractNumId w:val="0"/>
  </w:num>
  <w:num w:numId="31" w16cid:durableId="141165151">
    <w:abstractNumId w:val="17"/>
  </w:num>
  <w:num w:numId="32" w16cid:durableId="207685477">
    <w:abstractNumId w:val="34"/>
  </w:num>
  <w:num w:numId="33" w16cid:durableId="1175610740">
    <w:abstractNumId w:val="20"/>
  </w:num>
  <w:num w:numId="34" w16cid:durableId="1905990825">
    <w:abstractNumId w:val="14"/>
  </w:num>
  <w:num w:numId="35" w16cid:durableId="77879690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DB"/>
    <w:rsid w:val="000029A8"/>
    <w:rsid w:val="000149F4"/>
    <w:rsid w:val="00020F0D"/>
    <w:rsid w:val="00027B74"/>
    <w:rsid w:val="000322B5"/>
    <w:rsid w:val="000441E3"/>
    <w:rsid w:val="0004467F"/>
    <w:rsid w:val="00045AF1"/>
    <w:rsid w:val="00050137"/>
    <w:rsid w:val="00053EB0"/>
    <w:rsid w:val="00065C19"/>
    <w:rsid w:val="0008067F"/>
    <w:rsid w:val="00086524"/>
    <w:rsid w:val="000929B8"/>
    <w:rsid w:val="00095A3F"/>
    <w:rsid w:val="000A2F8A"/>
    <w:rsid w:val="000A534F"/>
    <w:rsid w:val="000A710E"/>
    <w:rsid w:val="000A733D"/>
    <w:rsid w:val="000B4A79"/>
    <w:rsid w:val="000C24B2"/>
    <w:rsid w:val="000C44A9"/>
    <w:rsid w:val="000C4868"/>
    <w:rsid w:val="000D0F70"/>
    <w:rsid w:val="000E1B4A"/>
    <w:rsid w:val="001109C6"/>
    <w:rsid w:val="00113AFF"/>
    <w:rsid w:val="001175F5"/>
    <w:rsid w:val="00127FAA"/>
    <w:rsid w:val="001415F9"/>
    <w:rsid w:val="00141A05"/>
    <w:rsid w:val="001577A2"/>
    <w:rsid w:val="00176E72"/>
    <w:rsid w:val="00191712"/>
    <w:rsid w:val="001B61D0"/>
    <w:rsid w:val="001C09DA"/>
    <w:rsid w:val="001D0FCE"/>
    <w:rsid w:val="001D5B26"/>
    <w:rsid w:val="001E13B6"/>
    <w:rsid w:val="001F2DC7"/>
    <w:rsid w:val="001F36BF"/>
    <w:rsid w:val="00211382"/>
    <w:rsid w:val="00214396"/>
    <w:rsid w:val="002250E4"/>
    <w:rsid w:val="002336AC"/>
    <w:rsid w:val="00250480"/>
    <w:rsid w:val="00262803"/>
    <w:rsid w:val="002732F9"/>
    <w:rsid w:val="00276543"/>
    <w:rsid w:val="00284F5E"/>
    <w:rsid w:val="00286E60"/>
    <w:rsid w:val="00292C39"/>
    <w:rsid w:val="002A4513"/>
    <w:rsid w:val="002A5E6C"/>
    <w:rsid w:val="002A6FA5"/>
    <w:rsid w:val="002A79FA"/>
    <w:rsid w:val="002C65EB"/>
    <w:rsid w:val="002F4E4C"/>
    <w:rsid w:val="00303B20"/>
    <w:rsid w:val="003052FC"/>
    <w:rsid w:val="00311CE6"/>
    <w:rsid w:val="00316F80"/>
    <w:rsid w:val="00317454"/>
    <w:rsid w:val="00332333"/>
    <w:rsid w:val="00362D38"/>
    <w:rsid w:val="003666A6"/>
    <w:rsid w:val="00382E2C"/>
    <w:rsid w:val="00387455"/>
    <w:rsid w:val="003D69A3"/>
    <w:rsid w:val="003E7467"/>
    <w:rsid w:val="003F4737"/>
    <w:rsid w:val="003F4916"/>
    <w:rsid w:val="004050D1"/>
    <w:rsid w:val="00405E21"/>
    <w:rsid w:val="00494EDE"/>
    <w:rsid w:val="004A2B11"/>
    <w:rsid w:val="004A3DCF"/>
    <w:rsid w:val="004D1C61"/>
    <w:rsid w:val="004D2648"/>
    <w:rsid w:val="004E1CF2"/>
    <w:rsid w:val="0050355E"/>
    <w:rsid w:val="00504D4F"/>
    <w:rsid w:val="005270F7"/>
    <w:rsid w:val="00532EBF"/>
    <w:rsid w:val="005420E5"/>
    <w:rsid w:val="005566A0"/>
    <w:rsid w:val="00582430"/>
    <w:rsid w:val="005A5DE7"/>
    <w:rsid w:val="005B623C"/>
    <w:rsid w:val="005C0D1D"/>
    <w:rsid w:val="005C1CFD"/>
    <w:rsid w:val="005D5110"/>
    <w:rsid w:val="005F5BB5"/>
    <w:rsid w:val="00615524"/>
    <w:rsid w:val="00627FD0"/>
    <w:rsid w:val="00633E24"/>
    <w:rsid w:val="006728E4"/>
    <w:rsid w:val="00674156"/>
    <w:rsid w:val="0067432B"/>
    <w:rsid w:val="006A14B5"/>
    <w:rsid w:val="006A2A6D"/>
    <w:rsid w:val="006C7E8C"/>
    <w:rsid w:val="006D6EE3"/>
    <w:rsid w:val="0071614A"/>
    <w:rsid w:val="0072440C"/>
    <w:rsid w:val="007452F3"/>
    <w:rsid w:val="00745A48"/>
    <w:rsid w:val="00795360"/>
    <w:rsid w:val="007974DC"/>
    <w:rsid w:val="007A2ECD"/>
    <w:rsid w:val="007E42F6"/>
    <w:rsid w:val="00803890"/>
    <w:rsid w:val="00804356"/>
    <w:rsid w:val="008165CF"/>
    <w:rsid w:val="00826F6E"/>
    <w:rsid w:val="00827D2A"/>
    <w:rsid w:val="0083479A"/>
    <w:rsid w:val="00841FDB"/>
    <w:rsid w:val="0086425A"/>
    <w:rsid w:val="00864304"/>
    <w:rsid w:val="0087141C"/>
    <w:rsid w:val="00877401"/>
    <w:rsid w:val="008B3191"/>
    <w:rsid w:val="008D229C"/>
    <w:rsid w:val="008D66E0"/>
    <w:rsid w:val="009007E6"/>
    <w:rsid w:val="00926A16"/>
    <w:rsid w:val="00945208"/>
    <w:rsid w:val="00947D55"/>
    <w:rsid w:val="009661A2"/>
    <w:rsid w:val="009A4E80"/>
    <w:rsid w:val="009A5DBE"/>
    <w:rsid w:val="009C582A"/>
    <w:rsid w:val="009D1B25"/>
    <w:rsid w:val="009D45EF"/>
    <w:rsid w:val="009D64D8"/>
    <w:rsid w:val="009E4B7A"/>
    <w:rsid w:val="009F195F"/>
    <w:rsid w:val="009F2DDD"/>
    <w:rsid w:val="00A0737E"/>
    <w:rsid w:val="00A17FF8"/>
    <w:rsid w:val="00A37974"/>
    <w:rsid w:val="00A42097"/>
    <w:rsid w:val="00A841E2"/>
    <w:rsid w:val="00A93D67"/>
    <w:rsid w:val="00A96734"/>
    <w:rsid w:val="00AA6949"/>
    <w:rsid w:val="00AB5909"/>
    <w:rsid w:val="00AE7BA2"/>
    <w:rsid w:val="00B10D70"/>
    <w:rsid w:val="00B4264E"/>
    <w:rsid w:val="00B928A3"/>
    <w:rsid w:val="00B92AF0"/>
    <w:rsid w:val="00BB6E21"/>
    <w:rsid w:val="00BC35A6"/>
    <w:rsid w:val="00BE121A"/>
    <w:rsid w:val="00BE23C9"/>
    <w:rsid w:val="00BF2B4E"/>
    <w:rsid w:val="00C2006F"/>
    <w:rsid w:val="00C24A0D"/>
    <w:rsid w:val="00C30EB7"/>
    <w:rsid w:val="00C3404F"/>
    <w:rsid w:val="00C40954"/>
    <w:rsid w:val="00C4661E"/>
    <w:rsid w:val="00C964AD"/>
    <w:rsid w:val="00CB0E3D"/>
    <w:rsid w:val="00CD137F"/>
    <w:rsid w:val="00CD32F8"/>
    <w:rsid w:val="00D023CC"/>
    <w:rsid w:val="00D24B26"/>
    <w:rsid w:val="00D325FD"/>
    <w:rsid w:val="00D42024"/>
    <w:rsid w:val="00D42A38"/>
    <w:rsid w:val="00D657D0"/>
    <w:rsid w:val="00D87DF3"/>
    <w:rsid w:val="00D9079B"/>
    <w:rsid w:val="00D9292D"/>
    <w:rsid w:val="00DA12C3"/>
    <w:rsid w:val="00DB220B"/>
    <w:rsid w:val="00DC5BBA"/>
    <w:rsid w:val="00DD4AC7"/>
    <w:rsid w:val="00E17826"/>
    <w:rsid w:val="00E21C96"/>
    <w:rsid w:val="00E36C21"/>
    <w:rsid w:val="00E51F4D"/>
    <w:rsid w:val="00E65828"/>
    <w:rsid w:val="00E74608"/>
    <w:rsid w:val="00E85C68"/>
    <w:rsid w:val="00E96383"/>
    <w:rsid w:val="00EA400E"/>
    <w:rsid w:val="00EA73B0"/>
    <w:rsid w:val="00EB1AFB"/>
    <w:rsid w:val="00EC06CD"/>
    <w:rsid w:val="00F07B9D"/>
    <w:rsid w:val="00F14BD6"/>
    <w:rsid w:val="00F17141"/>
    <w:rsid w:val="00F37DEB"/>
    <w:rsid w:val="00F53254"/>
    <w:rsid w:val="00F74A09"/>
    <w:rsid w:val="00F86EEC"/>
    <w:rsid w:val="00F90FEB"/>
    <w:rsid w:val="00FC3668"/>
    <w:rsid w:val="00FC4731"/>
    <w:rsid w:val="00FD02DC"/>
    <w:rsid w:val="00FD51C0"/>
    <w:rsid w:val="00FF294D"/>
    <w:rsid w:val="00FF59B6"/>
    <w:rsid w:val="00FF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ED870"/>
  <w15:chartTrackingRefBased/>
  <w15:docId w15:val="{92E4F0AC-5FE2-4FF0-B2CA-C0296957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D4F"/>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D4F"/>
    <w:pPr>
      <w:ind w:left="720"/>
      <w:contextualSpacing/>
    </w:pPr>
  </w:style>
  <w:style w:type="paragraph" w:styleId="Header">
    <w:name w:val="header"/>
    <w:basedOn w:val="Normal"/>
    <w:link w:val="HeaderChar"/>
    <w:uiPriority w:val="99"/>
    <w:unhideWhenUsed/>
    <w:rsid w:val="00504D4F"/>
    <w:pPr>
      <w:tabs>
        <w:tab w:val="center" w:pos="4513"/>
        <w:tab w:val="right" w:pos="9026"/>
      </w:tabs>
    </w:pPr>
  </w:style>
  <w:style w:type="character" w:customStyle="1" w:styleId="HeaderChar">
    <w:name w:val="Header Char"/>
    <w:link w:val="Header"/>
    <w:uiPriority w:val="99"/>
    <w:rsid w:val="00504D4F"/>
    <w:rPr>
      <w:rFonts w:ascii="Calibri" w:eastAsia="Calibri" w:hAnsi="Calibri" w:cs="Arial"/>
      <w:sz w:val="20"/>
      <w:szCs w:val="20"/>
      <w:lang w:eastAsia="en-GB"/>
    </w:rPr>
  </w:style>
  <w:style w:type="paragraph" w:styleId="Footer">
    <w:name w:val="footer"/>
    <w:basedOn w:val="Normal"/>
    <w:link w:val="FooterChar"/>
    <w:uiPriority w:val="99"/>
    <w:unhideWhenUsed/>
    <w:rsid w:val="00504D4F"/>
    <w:pPr>
      <w:tabs>
        <w:tab w:val="center" w:pos="4513"/>
        <w:tab w:val="right" w:pos="9026"/>
      </w:tabs>
    </w:pPr>
  </w:style>
  <w:style w:type="character" w:customStyle="1" w:styleId="FooterChar">
    <w:name w:val="Footer Char"/>
    <w:link w:val="Footer"/>
    <w:uiPriority w:val="99"/>
    <w:rsid w:val="00504D4F"/>
    <w:rPr>
      <w:rFonts w:ascii="Calibri" w:eastAsia="Calibri" w:hAnsi="Calibri" w:cs="Arial"/>
      <w:sz w:val="20"/>
      <w:szCs w:val="20"/>
      <w:lang w:eastAsia="en-GB"/>
    </w:rPr>
  </w:style>
  <w:style w:type="table" w:styleId="TableGrid">
    <w:name w:val="Table Grid"/>
    <w:basedOn w:val="TableNormal"/>
    <w:uiPriority w:val="59"/>
    <w:rsid w:val="00FF7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270F7"/>
    <w:rPr>
      <w:color w:val="0563C1"/>
      <w:u w:val="single"/>
    </w:rPr>
  </w:style>
  <w:style w:type="character" w:customStyle="1" w:styleId="Menzionenonrisolta1">
    <w:name w:val="Menzione non risolta1"/>
    <w:uiPriority w:val="99"/>
    <w:semiHidden/>
    <w:unhideWhenUsed/>
    <w:rsid w:val="005270F7"/>
    <w:rPr>
      <w:color w:val="605E5C"/>
      <w:shd w:val="clear" w:color="auto" w:fill="E1DFDD"/>
    </w:rPr>
  </w:style>
  <w:style w:type="paragraph" w:styleId="BalloonText">
    <w:name w:val="Balloon Text"/>
    <w:basedOn w:val="Normal"/>
    <w:link w:val="BalloonTextChar"/>
    <w:uiPriority w:val="99"/>
    <w:semiHidden/>
    <w:unhideWhenUsed/>
    <w:rsid w:val="000929B8"/>
    <w:rPr>
      <w:rFonts w:ascii="Segoe UI" w:hAnsi="Segoe UI" w:cs="Segoe UI"/>
      <w:sz w:val="18"/>
      <w:szCs w:val="18"/>
    </w:rPr>
  </w:style>
  <w:style w:type="character" w:customStyle="1" w:styleId="BalloonTextChar">
    <w:name w:val="Balloon Text Char"/>
    <w:link w:val="BalloonText"/>
    <w:uiPriority w:val="99"/>
    <w:semiHidden/>
    <w:rsid w:val="000929B8"/>
    <w:rPr>
      <w:rFonts w:ascii="Segoe UI" w:eastAsia="Calibri" w:hAnsi="Segoe UI" w:cs="Segoe UI"/>
      <w:sz w:val="18"/>
      <w:szCs w:val="18"/>
      <w:lang w:eastAsia="en-GB"/>
    </w:rPr>
  </w:style>
  <w:style w:type="character" w:styleId="CommentReference">
    <w:name w:val="annotation reference"/>
    <w:uiPriority w:val="99"/>
    <w:semiHidden/>
    <w:unhideWhenUsed/>
    <w:rsid w:val="00E85C68"/>
    <w:rPr>
      <w:sz w:val="16"/>
      <w:szCs w:val="16"/>
    </w:rPr>
  </w:style>
  <w:style w:type="paragraph" w:styleId="CommentText">
    <w:name w:val="annotation text"/>
    <w:basedOn w:val="Normal"/>
    <w:link w:val="CommentTextChar"/>
    <w:uiPriority w:val="99"/>
    <w:semiHidden/>
    <w:unhideWhenUsed/>
    <w:rsid w:val="00E85C68"/>
  </w:style>
  <w:style w:type="character" w:customStyle="1" w:styleId="CommentTextChar">
    <w:name w:val="Comment Text Char"/>
    <w:link w:val="CommentText"/>
    <w:uiPriority w:val="99"/>
    <w:semiHidden/>
    <w:rsid w:val="00E85C68"/>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E85C68"/>
    <w:rPr>
      <w:b/>
      <w:bCs/>
    </w:rPr>
  </w:style>
  <w:style w:type="character" w:customStyle="1" w:styleId="CommentSubjectChar">
    <w:name w:val="Comment Subject Char"/>
    <w:link w:val="CommentSubject"/>
    <w:uiPriority w:val="99"/>
    <w:semiHidden/>
    <w:rsid w:val="00E85C68"/>
    <w:rPr>
      <w:rFonts w:ascii="Calibri" w:eastAsia="Calibri" w:hAnsi="Calibri" w:cs="Arial"/>
      <w:b/>
      <w:bCs/>
      <w:sz w:val="20"/>
      <w:szCs w:val="20"/>
      <w:lang w:eastAsia="en-GB"/>
    </w:rPr>
  </w:style>
  <w:style w:type="paragraph" w:customStyle="1" w:styleId="msonormal0">
    <w:name w:val="msonormal"/>
    <w:basedOn w:val="Normal"/>
    <w:rsid w:val="0050355E"/>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355E"/>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16F80"/>
    <w:rPr>
      <w:color w:val="605E5C"/>
      <w:shd w:val="clear" w:color="auto" w:fill="E1DFDD"/>
    </w:rPr>
  </w:style>
  <w:style w:type="paragraph" w:styleId="BodyText">
    <w:name w:val="Body Text"/>
    <w:basedOn w:val="Normal"/>
    <w:link w:val="BodyTextChar"/>
    <w:uiPriority w:val="1"/>
    <w:qFormat/>
    <w:rsid w:val="00EA400E"/>
    <w:pPr>
      <w:widowControl w:val="0"/>
      <w:autoSpaceDE w:val="0"/>
      <w:autoSpaceDN w:val="0"/>
      <w:adjustRightInd w:val="0"/>
    </w:pPr>
    <w:rPr>
      <w:rFonts w:ascii="Times New Roman" w:eastAsia="Times New Roman" w:hAnsi="Times New Roman" w:cs="Times New Roman"/>
      <w:sz w:val="22"/>
      <w:szCs w:val="22"/>
      <w:lang w:val="it-IT" w:eastAsia="it-IT"/>
    </w:rPr>
  </w:style>
  <w:style w:type="character" w:customStyle="1" w:styleId="BodyTextChar">
    <w:name w:val="Body Text Char"/>
    <w:link w:val="BodyText"/>
    <w:uiPriority w:val="1"/>
    <w:rsid w:val="00EA400E"/>
    <w:rPr>
      <w:rFonts w:ascii="Times New Roman" w:eastAsia="Times New Roman" w:hAnsi="Times New Roman" w:cs="Times New Roman"/>
      <w:lang w:val="it-IT" w:eastAsia="it-IT"/>
    </w:rPr>
  </w:style>
  <w:style w:type="paragraph" w:styleId="Caption">
    <w:name w:val="caption"/>
    <w:basedOn w:val="Normal"/>
    <w:next w:val="Normal"/>
    <w:uiPriority w:val="35"/>
    <w:unhideWhenUsed/>
    <w:qFormat/>
    <w:rsid w:val="00EA400E"/>
    <w:pPr>
      <w:spacing w:after="200"/>
    </w:pPr>
    <w:rPr>
      <w:rFonts w:cs="Times New Roman"/>
      <w:i/>
      <w:iCs/>
      <w:color w:val="44546A"/>
      <w:sz w:val="18"/>
      <w:szCs w:val="18"/>
      <w:lang w:val="en-US" w:eastAsia="en-US"/>
    </w:rPr>
  </w:style>
  <w:style w:type="paragraph" w:styleId="HTMLPreformatted">
    <w:name w:val="HTML Preformatted"/>
    <w:basedOn w:val="Normal"/>
    <w:link w:val="HTMLPreformattedChar"/>
    <w:uiPriority w:val="99"/>
    <w:semiHidden/>
    <w:unhideWhenUsed/>
    <w:rsid w:val="00065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link w:val="HTMLPreformatted"/>
    <w:uiPriority w:val="99"/>
    <w:semiHidden/>
    <w:rsid w:val="00065C19"/>
    <w:rPr>
      <w:rFonts w:ascii="Courier New" w:eastAsia="Times New Roman" w:hAnsi="Courier New" w:cs="Courier New"/>
      <w:sz w:val="20"/>
      <w:szCs w:val="20"/>
      <w:lang w:eastAsia="en-GB"/>
    </w:rPr>
  </w:style>
  <w:style w:type="character" w:styleId="Emphasis">
    <w:name w:val="Emphasis"/>
    <w:uiPriority w:val="20"/>
    <w:qFormat/>
    <w:rsid w:val="00E36C21"/>
    <w:rPr>
      <w:i/>
      <w:iCs/>
    </w:rPr>
  </w:style>
  <w:style w:type="character" w:styleId="UnresolvedMention">
    <w:name w:val="Unresolved Mention"/>
    <w:uiPriority w:val="99"/>
    <w:semiHidden/>
    <w:unhideWhenUsed/>
    <w:rsid w:val="00A96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46073">
      <w:bodyDiv w:val="1"/>
      <w:marLeft w:val="0"/>
      <w:marRight w:val="0"/>
      <w:marTop w:val="0"/>
      <w:marBottom w:val="0"/>
      <w:divBdr>
        <w:top w:val="none" w:sz="0" w:space="0" w:color="auto"/>
        <w:left w:val="none" w:sz="0" w:space="0" w:color="auto"/>
        <w:bottom w:val="none" w:sz="0" w:space="0" w:color="auto"/>
        <w:right w:val="none" w:sz="0" w:space="0" w:color="auto"/>
      </w:divBdr>
    </w:div>
    <w:div w:id="199323317">
      <w:bodyDiv w:val="1"/>
      <w:marLeft w:val="0"/>
      <w:marRight w:val="0"/>
      <w:marTop w:val="0"/>
      <w:marBottom w:val="0"/>
      <w:divBdr>
        <w:top w:val="none" w:sz="0" w:space="0" w:color="auto"/>
        <w:left w:val="none" w:sz="0" w:space="0" w:color="auto"/>
        <w:bottom w:val="none" w:sz="0" w:space="0" w:color="auto"/>
        <w:right w:val="none" w:sz="0" w:space="0" w:color="auto"/>
      </w:divBdr>
      <w:divsChild>
        <w:div w:id="826552197">
          <w:marLeft w:val="0"/>
          <w:marRight w:val="0"/>
          <w:marTop w:val="0"/>
          <w:marBottom w:val="0"/>
          <w:divBdr>
            <w:top w:val="none" w:sz="0" w:space="0" w:color="auto"/>
            <w:left w:val="none" w:sz="0" w:space="0" w:color="auto"/>
            <w:bottom w:val="none" w:sz="0" w:space="0" w:color="auto"/>
            <w:right w:val="none" w:sz="0" w:space="0" w:color="auto"/>
          </w:divBdr>
          <w:divsChild>
            <w:div w:id="1045562783">
              <w:marLeft w:val="0"/>
              <w:marRight w:val="0"/>
              <w:marTop w:val="0"/>
              <w:marBottom w:val="0"/>
              <w:divBdr>
                <w:top w:val="none" w:sz="0" w:space="0" w:color="auto"/>
                <w:left w:val="none" w:sz="0" w:space="0" w:color="auto"/>
                <w:bottom w:val="none" w:sz="0" w:space="0" w:color="auto"/>
                <w:right w:val="none" w:sz="0" w:space="0" w:color="auto"/>
              </w:divBdr>
              <w:divsChild>
                <w:div w:id="1558738103">
                  <w:marLeft w:val="0"/>
                  <w:marRight w:val="0"/>
                  <w:marTop w:val="0"/>
                  <w:marBottom w:val="0"/>
                  <w:divBdr>
                    <w:top w:val="none" w:sz="0" w:space="0" w:color="auto"/>
                    <w:left w:val="none" w:sz="0" w:space="0" w:color="auto"/>
                    <w:bottom w:val="none" w:sz="0" w:space="0" w:color="auto"/>
                    <w:right w:val="none" w:sz="0" w:space="0" w:color="auto"/>
                  </w:divBdr>
                  <w:divsChild>
                    <w:div w:id="20708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5287">
      <w:bodyDiv w:val="1"/>
      <w:marLeft w:val="0"/>
      <w:marRight w:val="0"/>
      <w:marTop w:val="0"/>
      <w:marBottom w:val="0"/>
      <w:divBdr>
        <w:top w:val="none" w:sz="0" w:space="0" w:color="auto"/>
        <w:left w:val="none" w:sz="0" w:space="0" w:color="auto"/>
        <w:bottom w:val="none" w:sz="0" w:space="0" w:color="auto"/>
        <w:right w:val="none" w:sz="0" w:space="0" w:color="auto"/>
      </w:divBdr>
    </w:div>
    <w:div w:id="310838292">
      <w:bodyDiv w:val="1"/>
      <w:marLeft w:val="0"/>
      <w:marRight w:val="0"/>
      <w:marTop w:val="0"/>
      <w:marBottom w:val="0"/>
      <w:divBdr>
        <w:top w:val="none" w:sz="0" w:space="0" w:color="auto"/>
        <w:left w:val="none" w:sz="0" w:space="0" w:color="auto"/>
        <w:bottom w:val="none" w:sz="0" w:space="0" w:color="auto"/>
        <w:right w:val="none" w:sz="0" w:space="0" w:color="auto"/>
      </w:divBdr>
    </w:div>
    <w:div w:id="387077373">
      <w:bodyDiv w:val="1"/>
      <w:marLeft w:val="0"/>
      <w:marRight w:val="0"/>
      <w:marTop w:val="0"/>
      <w:marBottom w:val="0"/>
      <w:divBdr>
        <w:top w:val="none" w:sz="0" w:space="0" w:color="auto"/>
        <w:left w:val="none" w:sz="0" w:space="0" w:color="auto"/>
        <w:bottom w:val="none" w:sz="0" w:space="0" w:color="auto"/>
        <w:right w:val="none" w:sz="0" w:space="0" w:color="auto"/>
      </w:divBdr>
    </w:div>
    <w:div w:id="893544696">
      <w:bodyDiv w:val="1"/>
      <w:marLeft w:val="0"/>
      <w:marRight w:val="0"/>
      <w:marTop w:val="0"/>
      <w:marBottom w:val="0"/>
      <w:divBdr>
        <w:top w:val="none" w:sz="0" w:space="0" w:color="auto"/>
        <w:left w:val="none" w:sz="0" w:space="0" w:color="auto"/>
        <w:bottom w:val="none" w:sz="0" w:space="0" w:color="auto"/>
        <w:right w:val="none" w:sz="0" w:space="0" w:color="auto"/>
      </w:divBdr>
    </w:div>
    <w:div w:id="1135951724">
      <w:bodyDiv w:val="1"/>
      <w:marLeft w:val="0"/>
      <w:marRight w:val="0"/>
      <w:marTop w:val="0"/>
      <w:marBottom w:val="0"/>
      <w:divBdr>
        <w:top w:val="none" w:sz="0" w:space="0" w:color="auto"/>
        <w:left w:val="none" w:sz="0" w:space="0" w:color="auto"/>
        <w:bottom w:val="none" w:sz="0" w:space="0" w:color="auto"/>
        <w:right w:val="none" w:sz="0" w:space="0" w:color="auto"/>
      </w:divBdr>
    </w:div>
    <w:div w:id="1205405845">
      <w:bodyDiv w:val="1"/>
      <w:marLeft w:val="0"/>
      <w:marRight w:val="0"/>
      <w:marTop w:val="0"/>
      <w:marBottom w:val="0"/>
      <w:divBdr>
        <w:top w:val="none" w:sz="0" w:space="0" w:color="auto"/>
        <w:left w:val="none" w:sz="0" w:space="0" w:color="auto"/>
        <w:bottom w:val="none" w:sz="0" w:space="0" w:color="auto"/>
        <w:right w:val="none" w:sz="0" w:space="0" w:color="auto"/>
      </w:divBdr>
    </w:div>
    <w:div w:id="1371104228">
      <w:bodyDiv w:val="1"/>
      <w:marLeft w:val="0"/>
      <w:marRight w:val="0"/>
      <w:marTop w:val="0"/>
      <w:marBottom w:val="0"/>
      <w:divBdr>
        <w:top w:val="none" w:sz="0" w:space="0" w:color="auto"/>
        <w:left w:val="none" w:sz="0" w:space="0" w:color="auto"/>
        <w:bottom w:val="none" w:sz="0" w:space="0" w:color="auto"/>
        <w:right w:val="none" w:sz="0" w:space="0" w:color="auto"/>
      </w:divBdr>
    </w:div>
    <w:div w:id="1736197311">
      <w:bodyDiv w:val="1"/>
      <w:marLeft w:val="0"/>
      <w:marRight w:val="0"/>
      <w:marTop w:val="0"/>
      <w:marBottom w:val="0"/>
      <w:divBdr>
        <w:top w:val="none" w:sz="0" w:space="0" w:color="auto"/>
        <w:left w:val="none" w:sz="0" w:space="0" w:color="auto"/>
        <w:bottom w:val="none" w:sz="0" w:space="0" w:color="auto"/>
        <w:right w:val="none" w:sz="0" w:space="0" w:color="auto"/>
      </w:divBdr>
    </w:div>
    <w:div w:id="2013097058">
      <w:bodyDiv w:val="1"/>
      <w:marLeft w:val="0"/>
      <w:marRight w:val="0"/>
      <w:marTop w:val="0"/>
      <w:marBottom w:val="0"/>
      <w:divBdr>
        <w:top w:val="none" w:sz="0" w:space="0" w:color="auto"/>
        <w:left w:val="none" w:sz="0" w:space="0" w:color="auto"/>
        <w:bottom w:val="none" w:sz="0" w:space="0" w:color="auto"/>
        <w:right w:val="none" w:sz="0" w:space="0" w:color="auto"/>
      </w:divBdr>
    </w:div>
    <w:div w:id="20975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xchange@legalmail.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xcmarket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xchange@legalmail.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xcmarke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noLorenzelli\Documents\TXC%20TAXCHANGE%20-%20Financial%20Information%20Sheet%20-%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7B62A363036994594AA3AA351430847" ma:contentTypeVersion="11" ma:contentTypeDescription="Creare un nuovo documento." ma:contentTypeScope="" ma:versionID="9de96e149ca096634d51a3572d6b32be">
  <xsd:schema xmlns:xsd="http://www.w3.org/2001/XMLSchema" xmlns:xs="http://www.w3.org/2001/XMLSchema" xmlns:p="http://schemas.microsoft.com/office/2006/metadata/properties" xmlns:ns3="dc3a2132-be25-4d58-9e8a-07d453307b87" xmlns:ns4="16da1dfa-3369-49c8-887f-dabe7decfb4f" targetNamespace="http://schemas.microsoft.com/office/2006/metadata/properties" ma:root="true" ma:fieldsID="b0335e940ae8dedc348a3fa8d7183e1d" ns3:_="" ns4:_="">
    <xsd:import namespace="dc3a2132-be25-4d58-9e8a-07d453307b87"/>
    <xsd:import namespace="16da1dfa-3369-49c8-887f-dabe7decfb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a2132-be25-4d58-9e8a-07d453307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a1dfa-3369-49c8-887f-dabe7decfb4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86B25-D0DE-4CBD-8773-FA12DCCB4CA5}">
  <ds:schemaRefs>
    <ds:schemaRef ds:uri="http://schemas.microsoft.com/sharepoint/v3/contenttype/forms"/>
  </ds:schemaRefs>
</ds:datastoreItem>
</file>

<file path=customXml/itemProps2.xml><?xml version="1.0" encoding="utf-8"?>
<ds:datastoreItem xmlns:ds="http://schemas.openxmlformats.org/officeDocument/2006/customXml" ds:itemID="{7E2097EB-0928-47C9-9FF0-13FCE3094E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AD429C-23C8-4920-891C-6C577503B20A}">
  <ds:schemaRefs>
    <ds:schemaRef ds:uri="http://schemas.openxmlformats.org/officeDocument/2006/bibliography"/>
  </ds:schemaRefs>
</ds:datastoreItem>
</file>

<file path=customXml/itemProps4.xml><?xml version="1.0" encoding="utf-8"?>
<ds:datastoreItem xmlns:ds="http://schemas.openxmlformats.org/officeDocument/2006/customXml" ds:itemID="{2E3A7203-900A-4DA2-938E-253B4E160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a2132-be25-4d58-9e8a-07d453307b87"/>
    <ds:schemaRef ds:uri="16da1dfa-3369-49c8-887f-dabe7decf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TXC TAXCHANGE - Financial Information Sheet - 2020</Template>
  <TotalTime>973</TotalTime>
  <Pages>1</Pages>
  <Words>2114</Words>
  <Characters>12051</Characters>
  <Application>Microsoft Office Word</Application>
  <DocSecurity>0</DocSecurity>
  <Lines>100</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14137</CharactersWithSpaces>
  <SharedDoc>false</SharedDoc>
  <HLinks>
    <vt:vector size="30" baseType="variant">
      <vt:variant>
        <vt:i4>2883631</vt:i4>
      </vt:variant>
      <vt:variant>
        <vt:i4>12</vt:i4>
      </vt:variant>
      <vt:variant>
        <vt:i4>0</vt:i4>
      </vt:variant>
      <vt:variant>
        <vt:i4>5</vt:i4>
      </vt:variant>
      <vt:variant>
        <vt:lpwstr>http://www.txcmarkets.com/</vt:lpwstr>
      </vt:variant>
      <vt:variant>
        <vt:lpwstr/>
      </vt:variant>
      <vt:variant>
        <vt:i4>2883631</vt:i4>
      </vt:variant>
      <vt:variant>
        <vt:i4>9</vt:i4>
      </vt:variant>
      <vt:variant>
        <vt:i4>0</vt:i4>
      </vt:variant>
      <vt:variant>
        <vt:i4>5</vt:i4>
      </vt:variant>
      <vt:variant>
        <vt:lpwstr>http://www.txcmarkets.com/</vt:lpwstr>
      </vt:variant>
      <vt:variant>
        <vt:lpwstr/>
      </vt:variant>
      <vt:variant>
        <vt:i4>917536</vt:i4>
      </vt:variant>
      <vt:variant>
        <vt:i4>6</vt:i4>
      </vt:variant>
      <vt:variant>
        <vt:i4>0</vt:i4>
      </vt:variant>
      <vt:variant>
        <vt:i4>5</vt:i4>
      </vt:variant>
      <vt:variant>
        <vt:lpwstr>mailto:taxchange@legalmail.it</vt:lpwstr>
      </vt:variant>
      <vt:variant>
        <vt:lpwstr/>
      </vt:variant>
      <vt:variant>
        <vt:i4>2883631</vt:i4>
      </vt:variant>
      <vt:variant>
        <vt:i4>3</vt:i4>
      </vt:variant>
      <vt:variant>
        <vt:i4>0</vt:i4>
      </vt:variant>
      <vt:variant>
        <vt:i4>5</vt:i4>
      </vt:variant>
      <vt:variant>
        <vt:lpwstr>http://www.txcmarkets.com/</vt:lpwstr>
      </vt:variant>
      <vt:variant>
        <vt:lpwstr/>
      </vt:variant>
      <vt:variant>
        <vt:i4>917536</vt:i4>
      </vt:variant>
      <vt:variant>
        <vt:i4>0</vt:i4>
      </vt:variant>
      <vt:variant>
        <vt:i4>0</vt:i4>
      </vt:variant>
      <vt:variant>
        <vt:i4>5</vt:i4>
      </vt:variant>
      <vt:variant>
        <vt:lpwstr>mailto:taxchange@legalmail.it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Lorenzelli</dc:creator>
  <cp:keywords/>
  <dc:description/>
  <cp:lastModifiedBy>Bruno Lorenzelli</cp:lastModifiedBy>
  <cp:revision>9</cp:revision>
  <cp:lastPrinted>2022-07-14T14:23:00Z</cp:lastPrinted>
  <dcterms:created xsi:type="dcterms:W3CDTF">2020-03-24T17:02:00Z</dcterms:created>
  <dcterms:modified xsi:type="dcterms:W3CDTF">2024-06-06T03:39:00Z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0x01010047B62A363036994594AA3AA351430847</vt:lpwstr>
  </property>
</Properties>
</file>